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rPr>
          <w:rFonts w:cstheme="majorHAnsi"/>
          <w:b/>
          <w:sz w:val="44"/>
          <w:szCs w:val="44"/>
        </w:rPr>
      </w:pPr>
      <w:r>
        <w:rPr>
          <w:noProof/>
          <w:lang w:eastAsia="de-DE"/>
        </w:rPr>
        <w:drawing>
          <wp:anchor distT="0" distB="0" distL="114300" distR="114300" simplePos="0" relativeHeight="251658240" behindDoc="0" locked="0" layoutInCell="1" allowOverlap="1">
            <wp:simplePos x="0" y="0"/>
            <wp:positionH relativeFrom="column">
              <wp:posOffset>4545928</wp:posOffset>
            </wp:positionH>
            <wp:positionV relativeFrom="paragraph">
              <wp:posOffset>8628</wp:posOffset>
            </wp:positionV>
            <wp:extent cx="1871345" cy="914400"/>
            <wp:effectExtent l="0" t="0" r="0" b="0"/>
            <wp:wrapNone/>
            <wp:docPr id="4" name="Grafik 4" descr="Beschreibung: LU_Logo_Wortmarke_sw_14cm_fr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Beschreibung: LU_Logo_Wortmarke_sw_14cm_fre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4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pPr>
        <w:jc w:val="center"/>
        <w:rPr>
          <w:rFonts w:cstheme="majorHAnsi"/>
          <w:b/>
          <w:sz w:val="44"/>
          <w:szCs w:val="44"/>
        </w:rPr>
      </w:pPr>
    </w:p>
    <w:p>
      <w:pPr>
        <w:jc w:val="center"/>
        <w:rPr>
          <w:rFonts w:cstheme="majorHAnsi"/>
          <w:b/>
          <w:sz w:val="44"/>
          <w:szCs w:val="44"/>
        </w:rPr>
      </w:pPr>
    </w:p>
    <w:p>
      <w:pPr>
        <w:jc w:val="center"/>
        <w:rPr>
          <w:rFonts w:cstheme="majorHAnsi"/>
          <w:b/>
          <w:sz w:val="44"/>
          <w:szCs w:val="44"/>
        </w:rPr>
      </w:pPr>
    </w:p>
    <w:p>
      <w:pPr>
        <w:jc w:val="center"/>
        <w:rPr>
          <w:rFonts w:cstheme="majorHAnsi"/>
          <w:b/>
          <w:sz w:val="44"/>
          <w:szCs w:val="44"/>
        </w:rPr>
      </w:pPr>
      <w:r>
        <w:rPr>
          <w:rFonts w:cstheme="majorHAnsi"/>
          <w:b/>
          <w:sz w:val="44"/>
          <w:szCs w:val="44"/>
        </w:rPr>
        <w:t>Vertrag über Postdienstleistungen</w:t>
      </w:r>
    </w:p>
    <w:p>
      <w:pPr>
        <w:rPr>
          <w:rFonts w:cstheme="majorHAnsi"/>
        </w:rPr>
      </w:pPr>
    </w:p>
    <w:p>
      <w:pPr>
        <w:rPr>
          <w:rFonts w:cstheme="majorHAnsi"/>
        </w:rPr>
      </w:pPr>
    </w:p>
    <w:p>
      <w:pPr>
        <w:jc w:val="center"/>
        <w:rPr>
          <w:rFonts w:cstheme="majorHAnsi"/>
        </w:rPr>
      </w:pPr>
      <w:r>
        <w:rPr>
          <w:rFonts w:cstheme="majorHAnsi"/>
        </w:rPr>
        <w:t>Zwischen</w:t>
      </w:r>
    </w:p>
    <w:p>
      <w:pPr>
        <w:jc w:val="center"/>
        <w:rPr>
          <w:rFonts w:cstheme="majorHAnsi"/>
          <w:i/>
        </w:rPr>
      </w:pPr>
      <w:r>
        <w:rPr>
          <w:rFonts w:cstheme="majorHAnsi"/>
          <w:i/>
        </w:rPr>
        <w:t>Stadtverwaltung Ludwigshafen</w:t>
      </w:r>
    </w:p>
    <w:p>
      <w:pPr>
        <w:jc w:val="center"/>
        <w:rPr>
          <w:rFonts w:cstheme="majorHAnsi"/>
          <w:i/>
        </w:rPr>
      </w:pPr>
      <w:r>
        <w:rPr>
          <w:rFonts w:cstheme="majorHAnsi"/>
          <w:i/>
        </w:rPr>
        <w:t xml:space="preserve">- vertreten durch den Oberbürgermeister - </w:t>
      </w:r>
    </w:p>
    <w:p>
      <w:pPr>
        <w:jc w:val="center"/>
        <w:rPr>
          <w:rFonts w:cstheme="majorHAnsi"/>
          <w:i/>
        </w:rPr>
      </w:pPr>
      <w:r>
        <w:rPr>
          <w:rFonts w:cstheme="majorHAnsi"/>
          <w:i/>
        </w:rPr>
        <w:t>Bismarckstraße 25</w:t>
      </w:r>
    </w:p>
    <w:p>
      <w:pPr>
        <w:jc w:val="center"/>
        <w:rPr>
          <w:rFonts w:cstheme="majorHAnsi"/>
          <w:i/>
        </w:rPr>
      </w:pPr>
      <w:r>
        <w:rPr>
          <w:rFonts w:cstheme="majorHAnsi"/>
          <w:i/>
        </w:rPr>
        <w:t>67059 Ludwigshafen</w:t>
      </w:r>
    </w:p>
    <w:p>
      <w:pPr>
        <w:jc w:val="center"/>
        <w:rPr>
          <w:rFonts w:cstheme="majorHAnsi"/>
        </w:rPr>
      </w:pPr>
    </w:p>
    <w:p>
      <w:pPr>
        <w:pStyle w:val="Listenabsatz"/>
        <w:numPr>
          <w:ilvl w:val="0"/>
          <w:numId w:val="2"/>
        </w:numPr>
        <w:jc w:val="center"/>
        <w:rPr>
          <w:rFonts w:cstheme="majorHAnsi"/>
        </w:rPr>
      </w:pPr>
      <w:r>
        <w:rPr>
          <w:rFonts w:cstheme="majorHAnsi"/>
        </w:rPr>
        <w:t>im Folgenden „Auftraggeberin“ genannt –</w:t>
      </w:r>
    </w:p>
    <w:p>
      <w:pPr>
        <w:jc w:val="center"/>
        <w:rPr>
          <w:rFonts w:cstheme="majorHAnsi"/>
        </w:rPr>
      </w:pPr>
    </w:p>
    <w:p>
      <w:pPr>
        <w:jc w:val="center"/>
        <w:rPr>
          <w:rFonts w:cstheme="majorHAnsi"/>
        </w:rPr>
      </w:pPr>
    </w:p>
    <w:p>
      <w:pPr>
        <w:jc w:val="center"/>
        <w:rPr>
          <w:rFonts w:cstheme="majorHAnsi"/>
        </w:rPr>
      </w:pPr>
      <w:r>
        <w:rPr>
          <w:rFonts w:cstheme="majorHAnsi"/>
        </w:rPr>
        <w:t xml:space="preserve">und </w:t>
      </w:r>
      <w:r>
        <w:rPr>
          <w:rFonts w:cstheme="majorHAnsi"/>
          <w:highlight w:val="yellow"/>
        </w:rPr>
        <w:t>(Bieter*in bitte ausfüllen)</w:t>
      </w:r>
    </w:p>
    <w:p>
      <w:pPr>
        <w:jc w:val="center"/>
        <w:rPr>
          <w:rFonts w:cstheme="majorHAnsi"/>
        </w:rPr>
      </w:pPr>
    </w:p>
    <w:sdt>
      <w:sdtPr>
        <w:rPr>
          <w:rFonts w:cstheme="majorHAnsi"/>
        </w:rPr>
        <w:id w:val="-968821919"/>
        <w:placeholder>
          <w:docPart w:val="DefaultPlaceholder_-1854013440"/>
        </w:placeholder>
        <w:showingPlcHdr/>
      </w:sdtPr>
      <w:sdtContent>
        <w:p>
          <w:pPr>
            <w:jc w:val="center"/>
            <w:rPr>
              <w:rFonts w:cstheme="majorHAnsi"/>
            </w:rPr>
          </w:pPr>
          <w:r>
            <w:rPr>
              <w:rStyle w:val="Platzhaltertext"/>
            </w:rPr>
            <w:t>Klicken oder tippen Sie hier, um Text einzugeben.</w:t>
          </w:r>
        </w:p>
      </w:sdtContent>
    </w:sdt>
    <w:p>
      <w:pPr>
        <w:jc w:val="center"/>
        <w:rPr>
          <w:rFonts w:cstheme="majorHAnsi"/>
        </w:rPr>
      </w:pPr>
    </w:p>
    <w:p>
      <w:pPr>
        <w:jc w:val="center"/>
        <w:rPr>
          <w:rFonts w:cstheme="majorHAnsi"/>
        </w:rPr>
      </w:pPr>
    </w:p>
    <w:p>
      <w:pPr>
        <w:jc w:val="center"/>
        <w:rPr>
          <w:rFonts w:cstheme="majorHAnsi"/>
        </w:rPr>
      </w:pPr>
    </w:p>
    <w:p>
      <w:pPr>
        <w:jc w:val="center"/>
        <w:rPr>
          <w:rFonts w:cstheme="majorHAnsi"/>
        </w:rPr>
      </w:pPr>
    </w:p>
    <w:p>
      <w:pPr>
        <w:jc w:val="center"/>
        <w:rPr>
          <w:rFonts w:cstheme="majorHAnsi"/>
        </w:rPr>
      </w:pPr>
    </w:p>
    <w:p>
      <w:pPr>
        <w:pStyle w:val="Listenabsatz"/>
        <w:numPr>
          <w:ilvl w:val="0"/>
          <w:numId w:val="1"/>
        </w:numPr>
        <w:jc w:val="center"/>
        <w:rPr>
          <w:rFonts w:cstheme="majorHAnsi"/>
        </w:rPr>
      </w:pPr>
      <w:r>
        <w:rPr>
          <w:rFonts w:cstheme="majorHAnsi"/>
        </w:rPr>
        <w:t>Im Folgenden „Auftragnehmer*in“ genannt –</w:t>
      </w:r>
    </w:p>
    <w:p>
      <w:pPr>
        <w:rPr>
          <w:rFonts w:cstheme="majorHAnsi"/>
        </w:rPr>
      </w:pPr>
    </w:p>
    <w:p>
      <w:pPr>
        <w:rPr>
          <w:rFonts w:cstheme="majorHAnsi"/>
        </w:rPr>
      </w:pPr>
    </w:p>
    <w:p>
      <w:pPr>
        <w:rPr>
          <w:rFonts w:cstheme="majorHAnsi"/>
          <w:lang w:eastAsia="zh-CN"/>
        </w:rPr>
      </w:pPr>
      <w:bookmarkStart w:id="0" w:name="_Hlk528137061"/>
      <w:r>
        <w:rPr>
          <w:rFonts w:cstheme="majorHAnsi"/>
          <w:lang w:eastAsia="zh-CN"/>
        </w:rPr>
        <w:br w:type="page"/>
      </w:r>
    </w:p>
    <w:bookmarkEnd w:id="0" w:displacedByCustomXml="next"/>
    <w:sdt>
      <w:sdtPr>
        <w:rPr>
          <w:rFonts w:eastAsiaTheme="minorHAnsi" w:cstheme="minorBidi"/>
          <w:color w:val="auto"/>
          <w:sz w:val="22"/>
          <w:szCs w:val="22"/>
          <w:lang w:eastAsia="en-US"/>
        </w:rPr>
        <w:id w:val="-463741373"/>
        <w:docPartObj>
          <w:docPartGallery w:val="Table of Contents"/>
          <w:docPartUnique/>
        </w:docPartObj>
      </w:sdtPr>
      <w:sdtEndPr>
        <w:rPr>
          <w:b/>
          <w:bCs/>
        </w:rPr>
      </w:sdtEndPr>
      <w:sdtContent>
        <w:p>
          <w:pPr>
            <w:pStyle w:val="Inhaltsverzeichnisberschrift"/>
          </w:pPr>
          <w:r>
            <w:t>Inhalt</w:t>
          </w:r>
        </w:p>
        <w:p>
          <w:pPr>
            <w:pStyle w:val="Verzeichnis1"/>
            <w:tabs>
              <w:tab w:val="right" w:leader="dot" w:pos="9062"/>
            </w:tabs>
            <w:rPr>
              <w:rFonts w:asciiTheme="minorHAnsi" w:eastAsiaTheme="minorEastAsia" w:hAnsiTheme="minorHAnsi"/>
              <w:noProof/>
              <w:lang w:eastAsia="de-DE"/>
            </w:rPr>
          </w:pPr>
          <w:r>
            <w:rPr>
              <w:b/>
              <w:bCs/>
            </w:rPr>
            <w:fldChar w:fldCharType="begin"/>
          </w:r>
          <w:r>
            <w:rPr>
              <w:b/>
              <w:bCs/>
            </w:rPr>
            <w:instrText xml:space="preserve"> TOC \o "1-3" \h \z \u </w:instrText>
          </w:r>
          <w:r>
            <w:rPr>
              <w:b/>
              <w:bCs/>
            </w:rPr>
            <w:fldChar w:fldCharType="separate"/>
          </w:r>
          <w:hyperlink w:anchor="_Toc222816157" w:history="1">
            <w:r>
              <w:rPr>
                <w:rStyle w:val="Hyperlink"/>
                <w:noProof/>
              </w:rPr>
              <w:t>Präambel</w:t>
            </w:r>
            <w:r>
              <w:rPr>
                <w:noProof/>
                <w:webHidden/>
              </w:rPr>
              <w:tab/>
            </w:r>
            <w:r>
              <w:rPr>
                <w:noProof/>
                <w:webHidden/>
              </w:rPr>
              <w:fldChar w:fldCharType="begin"/>
            </w:r>
            <w:r>
              <w:rPr>
                <w:noProof/>
                <w:webHidden/>
              </w:rPr>
              <w:instrText xml:space="preserve"> PAGEREF _Toc222816157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58" w:history="1">
            <w:r>
              <w:rPr>
                <w:rStyle w:val="Hyperlink"/>
                <w:noProof/>
              </w:rPr>
              <w:t>§ 1 Gegenstand des Vertrages</w:t>
            </w:r>
            <w:r>
              <w:rPr>
                <w:noProof/>
                <w:webHidden/>
              </w:rPr>
              <w:tab/>
            </w:r>
            <w:r>
              <w:rPr>
                <w:noProof/>
                <w:webHidden/>
              </w:rPr>
              <w:fldChar w:fldCharType="begin"/>
            </w:r>
            <w:r>
              <w:rPr>
                <w:noProof/>
                <w:webHidden/>
              </w:rPr>
              <w:instrText xml:space="preserve"> PAGEREF _Toc222816158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59" w:history="1">
            <w:r>
              <w:rPr>
                <w:rStyle w:val="Hyperlink"/>
                <w:noProof/>
                <w:lang w:eastAsia="zh-CN"/>
              </w:rPr>
              <w:t>§ 2 Keine Geltung der AGB des/der Auftragnehmer*in</w:t>
            </w:r>
            <w:r>
              <w:rPr>
                <w:noProof/>
                <w:webHidden/>
              </w:rPr>
              <w:tab/>
            </w:r>
            <w:r>
              <w:rPr>
                <w:noProof/>
                <w:webHidden/>
              </w:rPr>
              <w:fldChar w:fldCharType="begin"/>
            </w:r>
            <w:r>
              <w:rPr>
                <w:noProof/>
                <w:webHidden/>
              </w:rPr>
              <w:instrText xml:space="preserve"> PAGEREF _Toc222816159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60" w:history="1">
            <w:r>
              <w:rPr>
                <w:rStyle w:val="Hyperlink"/>
                <w:noProof/>
                <w:lang w:eastAsia="zh-CN"/>
              </w:rPr>
              <w:t xml:space="preserve">§ 3 Umfang der </w:t>
            </w:r>
            <w:r>
              <w:rPr>
                <w:rStyle w:val="Hyperlink"/>
                <w:noProof/>
              </w:rPr>
              <w:t>Leistungen</w:t>
            </w:r>
            <w:r>
              <w:rPr>
                <w:rStyle w:val="Hyperlink"/>
                <w:noProof/>
                <w:lang w:eastAsia="zh-CN"/>
              </w:rPr>
              <w:t>, Leistungsort, Leistungsfrist</w:t>
            </w:r>
            <w:r>
              <w:rPr>
                <w:noProof/>
                <w:webHidden/>
              </w:rPr>
              <w:tab/>
            </w:r>
            <w:r>
              <w:rPr>
                <w:noProof/>
                <w:webHidden/>
              </w:rPr>
              <w:fldChar w:fldCharType="begin"/>
            </w:r>
            <w:r>
              <w:rPr>
                <w:noProof/>
                <w:webHidden/>
              </w:rPr>
              <w:instrText xml:space="preserve"> PAGEREF _Toc222816160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61" w:history="1">
            <w:r>
              <w:rPr>
                <w:rStyle w:val="Hyperlink"/>
                <w:noProof/>
                <w:lang w:eastAsia="zh-CN"/>
              </w:rPr>
              <w:t xml:space="preserve">§ 4 </w:t>
            </w:r>
            <w:r>
              <w:rPr>
                <w:rStyle w:val="Hyperlink"/>
                <w:noProof/>
              </w:rPr>
              <w:t>Einbeziehung</w:t>
            </w:r>
            <w:r>
              <w:rPr>
                <w:rStyle w:val="Hyperlink"/>
                <w:noProof/>
                <w:lang w:eastAsia="zh-CN"/>
              </w:rPr>
              <w:t xml:space="preserve"> Dritter in die Leistungserbringung</w:t>
            </w:r>
            <w:r>
              <w:rPr>
                <w:noProof/>
                <w:webHidden/>
              </w:rPr>
              <w:tab/>
            </w:r>
            <w:r>
              <w:rPr>
                <w:noProof/>
                <w:webHidden/>
              </w:rPr>
              <w:fldChar w:fldCharType="begin"/>
            </w:r>
            <w:r>
              <w:rPr>
                <w:noProof/>
                <w:webHidden/>
              </w:rPr>
              <w:instrText xml:space="preserve"> PAGEREF _Toc222816161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62" w:history="1">
            <w:r>
              <w:rPr>
                <w:rStyle w:val="Hyperlink"/>
                <w:noProof/>
                <w:lang w:eastAsia="zh-CN"/>
              </w:rPr>
              <w:t>§ 5 Gewährleistung und Verzug</w:t>
            </w:r>
            <w:r>
              <w:rPr>
                <w:noProof/>
                <w:webHidden/>
              </w:rPr>
              <w:tab/>
            </w:r>
            <w:r>
              <w:rPr>
                <w:noProof/>
                <w:webHidden/>
              </w:rPr>
              <w:fldChar w:fldCharType="begin"/>
            </w:r>
            <w:r>
              <w:rPr>
                <w:noProof/>
                <w:webHidden/>
              </w:rPr>
              <w:instrText xml:space="preserve"> PAGEREF _Toc222816162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63" w:history="1">
            <w:r>
              <w:rPr>
                <w:rStyle w:val="Hyperlink"/>
                <w:noProof/>
                <w:lang w:eastAsia="zh-CN"/>
              </w:rPr>
              <w:t>§ 6 Bezahlung der Leistung durch die Auftraggeberin</w:t>
            </w:r>
            <w:r>
              <w:rPr>
                <w:noProof/>
                <w:webHidden/>
              </w:rPr>
              <w:tab/>
            </w:r>
            <w:r>
              <w:rPr>
                <w:noProof/>
                <w:webHidden/>
              </w:rPr>
              <w:fldChar w:fldCharType="begin"/>
            </w:r>
            <w:r>
              <w:rPr>
                <w:noProof/>
                <w:webHidden/>
              </w:rPr>
              <w:instrText xml:space="preserve"> PAGEREF _Toc222816163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64" w:history="1">
            <w:r>
              <w:rPr>
                <w:rStyle w:val="Hyperlink"/>
                <w:noProof/>
                <w:lang w:eastAsia="zh-CN"/>
              </w:rPr>
              <w:t>§ 7 Zahlungsfristen; Skonto</w:t>
            </w:r>
            <w:r>
              <w:rPr>
                <w:noProof/>
                <w:webHidden/>
              </w:rPr>
              <w:tab/>
            </w:r>
            <w:r>
              <w:rPr>
                <w:noProof/>
                <w:webHidden/>
              </w:rPr>
              <w:fldChar w:fldCharType="begin"/>
            </w:r>
            <w:r>
              <w:rPr>
                <w:noProof/>
                <w:webHidden/>
              </w:rPr>
              <w:instrText xml:space="preserve"> PAGEREF _Toc222816164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65" w:history="1">
            <w:r>
              <w:rPr>
                <w:rStyle w:val="Hyperlink"/>
                <w:noProof/>
                <w:lang w:eastAsia="zh-CN"/>
              </w:rPr>
              <w:t>§ 8 Mitwirkungspflichten der Auftraggeberin</w:t>
            </w:r>
            <w:r>
              <w:rPr>
                <w:noProof/>
                <w:webHidden/>
              </w:rPr>
              <w:tab/>
            </w:r>
            <w:r>
              <w:rPr>
                <w:noProof/>
                <w:webHidden/>
              </w:rPr>
              <w:fldChar w:fldCharType="begin"/>
            </w:r>
            <w:r>
              <w:rPr>
                <w:noProof/>
                <w:webHidden/>
              </w:rPr>
              <w:instrText xml:space="preserve"> PAGEREF _Toc222816165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66" w:history="1">
            <w:r>
              <w:rPr>
                <w:rStyle w:val="Hyperlink"/>
                <w:noProof/>
                <w:lang w:eastAsia="zh-CN"/>
              </w:rPr>
              <w:t>§ 9 Leistungsänderungen durch die Auftraggeberin</w:t>
            </w:r>
            <w:r>
              <w:rPr>
                <w:noProof/>
                <w:webHidden/>
              </w:rPr>
              <w:tab/>
            </w:r>
            <w:r>
              <w:rPr>
                <w:noProof/>
                <w:webHidden/>
              </w:rPr>
              <w:fldChar w:fldCharType="begin"/>
            </w:r>
            <w:r>
              <w:rPr>
                <w:noProof/>
                <w:webHidden/>
              </w:rPr>
              <w:instrText xml:space="preserve"> PAGEREF _Toc222816166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67" w:history="1">
            <w:r>
              <w:rPr>
                <w:rStyle w:val="Hyperlink"/>
                <w:noProof/>
                <w:lang w:eastAsia="zh-CN"/>
              </w:rPr>
              <w:t>§ 10 Kundenservice und Reklamationsmanagement</w:t>
            </w:r>
            <w:r>
              <w:rPr>
                <w:noProof/>
                <w:webHidden/>
              </w:rPr>
              <w:tab/>
            </w:r>
            <w:r>
              <w:rPr>
                <w:noProof/>
                <w:webHidden/>
              </w:rPr>
              <w:fldChar w:fldCharType="begin"/>
            </w:r>
            <w:r>
              <w:rPr>
                <w:noProof/>
                <w:webHidden/>
              </w:rPr>
              <w:instrText xml:space="preserve"> PAGEREF _Toc222816167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68" w:history="1">
            <w:r>
              <w:rPr>
                <w:rStyle w:val="Hyperlink"/>
                <w:noProof/>
                <w:lang w:eastAsia="zh-CN"/>
              </w:rPr>
              <w:t>§ 11 Ansprechpartner*in</w:t>
            </w:r>
            <w:r>
              <w:rPr>
                <w:noProof/>
                <w:webHidden/>
              </w:rPr>
              <w:tab/>
            </w:r>
            <w:r>
              <w:rPr>
                <w:noProof/>
                <w:webHidden/>
              </w:rPr>
              <w:fldChar w:fldCharType="begin"/>
            </w:r>
            <w:r>
              <w:rPr>
                <w:noProof/>
                <w:webHidden/>
              </w:rPr>
              <w:instrText xml:space="preserve"> PAGEREF _Toc222816168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69" w:history="1">
            <w:r>
              <w:rPr>
                <w:rStyle w:val="Hyperlink"/>
                <w:noProof/>
              </w:rPr>
              <w:t>§ 12 Haftung</w:t>
            </w:r>
            <w:r>
              <w:rPr>
                <w:noProof/>
                <w:webHidden/>
              </w:rPr>
              <w:tab/>
            </w:r>
            <w:r>
              <w:rPr>
                <w:noProof/>
                <w:webHidden/>
              </w:rPr>
              <w:fldChar w:fldCharType="begin"/>
            </w:r>
            <w:r>
              <w:rPr>
                <w:noProof/>
                <w:webHidden/>
              </w:rPr>
              <w:instrText xml:space="preserve"> PAGEREF _Toc222816169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70" w:history="1">
            <w:r>
              <w:rPr>
                <w:rStyle w:val="Hyperlink"/>
                <w:noProof/>
              </w:rPr>
              <w:t>§ 13 Gefahrenübergang</w:t>
            </w:r>
            <w:r>
              <w:rPr>
                <w:noProof/>
                <w:webHidden/>
              </w:rPr>
              <w:tab/>
            </w:r>
            <w:r>
              <w:rPr>
                <w:noProof/>
                <w:webHidden/>
              </w:rPr>
              <w:fldChar w:fldCharType="begin"/>
            </w:r>
            <w:r>
              <w:rPr>
                <w:noProof/>
                <w:webHidden/>
              </w:rPr>
              <w:instrText xml:space="preserve"> PAGEREF _Toc222816170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71" w:history="1">
            <w:r>
              <w:rPr>
                <w:rStyle w:val="Hyperlink"/>
                <w:noProof/>
              </w:rPr>
              <w:t>§ 14 Laufzeit des Vertrages</w:t>
            </w:r>
            <w:r>
              <w:rPr>
                <w:noProof/>
                <w:webHidden/>
              </w:rPr>
              <w:tab/>
            </w:r>
            <w:r>
              <w:rPr>
                <w:noProof/>
                <w:webHidden/>
              </w:rPr>
              <w:fldChar w:fldCharType="begin"/>
            </w:r>
            <w:r>
              <w:rPr>
                <w:noProof/>
                <w:webHidden/>
              </w:rPr>
              <w:instrText xml:space="preserve"> PAGEREF _Toc222816171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72" w:history="1">
            <w:r>
              <w:rPr>
                <w:rStyle w:val="Hyperlink"/>
                <w:noProof/>
                <w:lang w:eastAsia="zh-CN"/>
              </w:rPr>
              <w:t>§ 15 Recht zur Kündigung</w:t>
            </w:r>
            <w:r>
              <w:rPr>
                <w:noProof/>
                <w:webHidden/>
              </w:rPr>
              <w:tab/>
            </w:r>
            <w:r>
              <w:rPr>
                <w:noProof/>
                <w:webHidden/>
              </w:rPr>
              <w:fldChar w:fldCharType="begin"/>
            </w:r>
            <w:r>
              <w:rPr>
                <w:noProof/>
                <w:webHidden/>
              </w:rPr>
              <w:instrText xml:space="preserve"> PAGEREF _Toc222816172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73" w:history="1">
            <w:r>
              <w:rPr>
                <w:rStyle w:val="Hyperlink"/>
                <w:noProof/>
                <w:lang w:eastAsia="zh-CN"/>
              </w:rPr>
              <w:t>§ 16 Rechtsfolgen der Kündigung</w:t>
            </w:r>
            <w:r>
              <w:rPr>
                <w:noProof/>
                <w:webHidden/>
              </w:rPr>
              <w:tab/>
            </w:r>
            <w:r>
              <w:rPr>
                <w:noProof/>
                <w:webHidden/>
              </w:rPr>
              <w:fldChar w:fldCharType="begin"/>
            </w:r>
            <w:r>
              <w:rPr>
                <w:noProof/>
                <w:webHidden/>
              </w:rPr>
              <w:instrText xml:space="preserve"> PAGEREF _Toc222816173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74" w:history="1">
            <w:r>
              <w:rPr>
                <w:rStyle w:val="Hyperlink"/>
                <w:noProof/>
                <w:lang w:eastAsia="zh-CN"/>
              </w:rPr>
              <w:t>§ 17 Vertraulichkeits- und Geheimhaltungsvereinbarung</w:t>
            </w:r>
            <w:r>
              <w:rPr>
                <w:noProof/>
                <w:webHidden/>
              </w:rPr>
              <w:tab/>
            </w:r>
            <w:r>
              <w:rPr>
                <w:noProof/>
                <w:webHidden/>
              </w:rPr>
              <w:fldChar w:fldCharType="begin"/>
            </w:r>
            <w:r>
              <w:rPr>
                <w:noProof/>
                <w:webHidden/>
              </w:rPr>
              <w:instrText xml:space="preserve"> PAGEREF _Toc222816174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75" w:history="1">
            <w:r>
              <w:rPr>
                <w:rStyle w:val="Hyperlink"/>
                <w:noProof/>
                <w:lang w:eastAsia="zh-CN"/>
              </w:rPr>
              <w:t>§ 18 Formerfordernis für Änderungen und Ergänzungen</w:t>
            </w:r>
            <w:r>
              <w:rPr>
                <w:noProof/>
                <w:webHidden/>
              </w:rPr>
              <w:tab/>
            </w:r>
            <w:r>
              <w:rPr>
                <w:noProof/>
                <w:webHidden/>
              </w:rPr>
              <w:fldChar w:fldCharType="begin"/>
            </w:r>
            <w:r>
              <w:rPr>
                <w:noProof/>
                <w:webHidden/>
              </w:rPr>
              <w:instrText xml:space="preserve"> PAGEREF _Toc222816175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76" w:history="1">
            <w:r>
              <w:rPr>
                <w:rStyle w:val="Hyperlink"/>
                <w:noProof/>
                <w:lang w:eastAsia="zh-CN"/>
              </w:rPr>
              <w:t>§ 19 Vertragssprache</w:t>
            </w:r>
            <w:r>
              <w:rPr>
                <w:noProof/>
                <w:webHidden/>
              </w:rPr>
              <w:tab/>
            </w:r>
            <w:r>
              <w:rPr>
                <w:noProof/>
                <w:webHidden/>
              </w:rPr>
              <w:fldChar w:fldCharType="begin"/>
            </w:r>
            <w:r>
              <w:rPr>
                <w:noProof/>
                <w:webHidden/>
              </w:rPr>
              <w:instrText xml:space="preserve"> PAGEREF _Toc222816176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77" w:history="1">
            <w:r>
              <w:rPr>
                <w:rStyle w:val="Hyperlink"/>
                <w:noProof/>
                <w:lang w:eastAsia="zh-CN"/>
              </w:rPr>
              <w:t>§ 20 Anwendbares Recht und Gerichtsstand</w:t>
            </w:r>
            <w:r>
              <w:rPr>
                <w:noProof/>
                <w:webHidden/>
              </w:rPr>
              <w:tab/>
            </w:r>
            <w:r>
              <w:rPr>
                <w:noProof/>
                <w:webHidden/>
              </w:rPr>
              <w:fldChar w:fldCharType="begin"/>
            </w:r>
            <w:r>
              <w:rPr>
                <w:noProof/>
                <w:webHidden/>
              </w:rPr>
              <w:instrText xml:space="preserve"> PAGEREF _Toc222816177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78" w:history="1">
            <w:r>
              <w:rPr>
                <w:rStyle w:val="Hyperlink"/>
                <w:noProof/>
                <w:lang w:eastAsia="zh-CN"/>
              </w:rPr>
              <w:t>§ 21 Salvatorische Klausel</w:t>
            </w:r>
            <w:r>
              <w:rPr>
                <w:noProof/>
                <w:webHidden/>
              </w:rPr>
              <w:tab/>
            </w:r>
            <w:r>
              <w:rPr>
                <w:noProof/>
                <w:webHidden/>
              </w:rPr>
              <w:fldChar w:fldCharType="begin"/>
            </w:r>
            <w:r>
              <w:rPr>
                <w:noProof/>
                <w:webHidden/>
              </w:rPr>
              <w:instrText xml:space="preserve"> PAGEREF _Toc222816178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noProof/>
              <w:lang w:eastAsia="de-DE"/>
            </w:rPr>
          </w:pPr>
          <w:hyperlink w:anchor="_Toc222816179" w:history="1">
            <w:r>
              <w:rPr>
                <w:rStyle w:val="Hyperlink"/>
                <w:noProof/>
                <w:lang w:eastAsia="zh-CN"/>
              </w:rPr>
              <w:t>§ 22 Sonstige Vereinbarung</w:t>
            </w:r>
            <w:r>
              <w:rPr>
                <w:noProof/>
                <w:webHidden/>
              </w:rPr>
              <w:tab/>
            </w:r>
            <w:r>
              <w:rPr>
                <w:noProof/>
                <w:webHidden/>
              </w:rPr>
              <w:fldChar w:fldCharType="begin"/>
            </w:r>
            <w:r>
              <w:rPr>
                <w:noProof/>
                <w:webHidden/>
              </w:rPr>
              <w:instrText xml:space="preserve"> PAGEREF _Toc222816179 \h </w:instrText>
            </w:r>
            <w:r>
              <w:rPr>
                <w:noProof/>
                <w:webHidden/>
              </w:rPr>
            </w:r>
            <w:r>
              <w:rPr>
                <w:noProof/>
                <w:webHidden/>
              </w:rPr>
              <w:fldChar w:fldCharType="separate"/>
            </w:r>
            <w:r>
              <w:rPr>
                <w:noProof/>
                <w:webHidden/>
              </w:rPr>
              <w:t>9</w:t>
            </w:r>
            <w:r>
              <w:rPr>
                <w:noProof/>
                <w:webHidden/>
              </w:rPr>
              <w:fldChar w:fldCharType="end"/>
            </w:r>
          </w:hyperlink>
        </w:p>
        <w:p>
          <w:r>
            <w:rPr>
              <w:b/>
              <w:bCs/>
            </w:rPr>
            <w:fldChar w:fldCharType="end"/>
          </w:r>
        </w:p>
      </w:sdtContent>
    </w:sdt>
    <w:p>
      <w:pPr>
        <w:rPr>
          <w:rFonts w:cstheme="majorHAnsi"/>
        </w:rPr>
      </w:pPr>
      <w:r>
        <w:rPr>
          <w:rFonts w:cstheme="majorHAnsi"/>
        </w:rPr>
        <w:br w:type="page"/>
      </w:r>
    </w:p>
    <w:p>
      <w:pPr>
        <w:pStyle w:val="berschrift1"/>
      </w:pPr>
      <w:bookmarkStart w:id="1" w:name="_Toc222816157"/>
      <w:r>
        <w:lastRenderedPageBreak/>
        <w:t>Präambel</w:t>
      </w:r>
      <w:bookmarkEnd w:id="1"/>
    </w:p>
    <w:p>
      <w:pPr>
        <w:autoSpaceDE w:val="0"/>
        <w:autoSpaceDN w:val="0"/>
        <w:adjustRightInd w:val="0"/>
        <w:spacing w:before="0" w:after="0"/>
        <w:rPr>
          <w:rFonts w:cstheme="majorHAnsi"/>
        </w:rPr>
      </w:pPr>
      <w:r>
        <w:rPr>
          <w:rFonts w:cstheme="majorHAnsi"/>
        </w:rPr>
        <w:t>Die Stadtverwaltung Ludwigshafen benötigt für die Durchführung von Boten- und Kurierfahrten für die Zustellung stadtinterner und externer Sendungen im städtischen Raum Ludwigshafen</w:t>
      </w:r>
    </w:p>
    <w:p>
      <w:pPr>
        <w:autoSpaceDE w:val="0"/>
        <w:autoSpaceDN w:val="0"/>
        <w:adjustRightInd w:val="0"/>
        <w:spacing w:before="0" w:after="0"/>
        <w:rPr>
          <w:rFonts w:cstheme="majorHAnsi"/>
        </w:rPr>
      </w:pPr>
    </w:p>
    <w:p>
      <w:pPr>
        <w:pStyle w:val="Kommentartext"/>
        <w:rPr>
          <w:rFonts w:asciiTheme="majorHAnsi" w:eastAsiaTheme="minorHAnsi" w:hAnsiTheme="majorHAnsi" w:cstheme="majorHAnsi"/>
          <w:sz w:val="22"/>
          <w:szCs w:val="22"/>
          <w:lang w:eastAsia="en-US"/>
        </w:rPr>
      </w:pPr>
      <w:r>
        <w:rPr>
          <w:rFonts w:cstheme="majorHAnsi"/>
        </w:rPr>
        <w:t xml:space="preserve">- </w:t>
      </w:r>
      <w:r>
        <w:rPr>
          <w:rFonts w:asciiTheme="majorHAnsi" w:eastAsiaTheme="minorHAnsi" w:hAnsiTheme="majorHAnsi" w:cstheme="majorHAnsi"/>
          <w:sz w:val="22"/>
          <w:szCs w:val="22"/>
          <w:lang w:eastAsia="en-US"/>
        </w:rPr>
        <w:t>vom/von Postfach/Postfächern bei der Deutschen Post AG von der Stadtverwaltung Ludwigshafen, Transport und Zustellung zur zentralen Poststelle der Stadtverwaltung Ludwigshafen (</w:t>
      </w:r>
      <w:r>
        <w:rPr>
          <w:rFonts w:asciiTheme="majorHAnsi" w:eastAsiaTheme="minorHAnsi" w:hAnsiTheme="majorHAnsi" w:cstheme="majorHAnsi"/>
          <w:b/>
          <w:sz w:val="22"/>
          <w:szCs w:val="22"/>
          <w:lang w:eastAsia="en-US"/>
        </w:rPr>
        <w:t>Los 1</w:t>
      </w:r>
      <w:r>
        <w:rPr>
          <w:rFonts w:asciiTheme="majorHAnsi" w:eastAsiaTheme="minorHAnsi" w:hAnsiTheme="majorHAnsi" w:cstheme="majorHAnsi"/>
          <w:sz w:val="22"/>
          <w:szCs w:val="22"/>
          <w:lang w:eastAsia="en-US"/>
        </w:rPr>
        <w:t>)</w:t>
      </w:r>
    </w:p>
    <w:p>
      <w:pPr>
        <w:autoSpaceDE w:val="0"/>
        <w:autoSpaceDN w:val="0"/>
        <w:adjustRightInd w:val="0"/>
        <w:spacing w:before="0" w:after="0"/>
        <w:rPr>
          <w:rFonts w:cstheme="majorHAnsi"/>
        </w:rPr>
      </w:pPr>
      <w:r>
        <w:rPr>
          <w:rFonts w:cstheme="majorHAnsi"/>
        </w:rPr>
        <w:t xml:space="preserve">und </w:t>
      </w:r>
    </w:p>
    <w:p>
      <w:pPr>
        <w:pStyle w:val="Kommentartext"/>
        <w:rPr>
          <w:rFonts w:asciiTheme="majorHAnsi" w:eastAsiaTheme="minorHAnsi" w:hAnsiTheme="majorHAnsi" w:cstheme="majorHAnsi"/>
          <w:sz w:val="22"/>
          <w:szCs w:val="22"/>
          <w:lang w:eastAsia="en-US"/>
        </w:rPr>
      </w:pPr>
      <w:r>
        <w:rPr>
          <w:rFonts w:asciiTheme="majorHAnsi" w:eastAsiaTheme="minorHAnsi" w:hAnsiTheme="majorHAnsi" w:cstheme="majorHAnsi"/>
          <w:sz w:val="22"/>
          <w:szCs w:val="22"/>
          <w:lang w:eastAsia="en-US"/>
        </w:rPr>
        <w:t>- von der zentralen Poststelle der Stadtverwaltung Ludwigshafen zu den städtischen Organisationseinheiten und die Mitnahme von Postsendungen (Anfahrtsstellen Nord-/Südtouren) entsprechend der Anlieferadressen der Vergabe- und Vertragsunterlagen (</w:t>
      </w:r>
      <w:r>
        <w:rPr>
          <w:rFonts w:asciiTheme="majorHAnsi" w:eastAsiaTheme="minorHAnsi" w:hAnsiTheme="majorHAnsi" w:cstheme="majorHAnsi"/>
          <w:b/>
          <w:sz w:val="22"/>
          <w:szCs w:val="22"/>
          <w:lang w:eastAsia="en-US"/>
        </w:rPr>
        <w:t>Los 2</w:t>
      </w:r>
      <w:r>
        <w:rPr>
          <w:rFonts w:asciiTheme="majorHAnsi" w:eastAsiaTheme="minorHAnsi" w:hAnsiTheme="majorHAnsi" w:cstheme="majorHAnsi"/>
          <w:sz w:val="22"/>
          <w:szCs w:val="22"/>
          <w:lang w:eastAsia="en-US"/>
        </w:rPr>
        <w:t>)</w:t>
      </w:r>
    </w:p>
    <w:p>
      <w:pPr>
        <w:autoSpaceDE w:val="0"/>
        <w:autoSpaceDN w:val="0"/>
        <w:adjustRightInd w:val="0"/>
        <w:spacing w:before="0" w:after="0"/>
        <w:rPr>
          <w:rFonts w:cstheme="majorHAnsi"/>
        </w:rPr>
      </w:pPr>
    </w:p>
    <w:p>
      <w:pPr>
        <w:autoSpaceDE w:val="0"/>
        <w:autoSpaceDN w:val="0"/>
        <w:adjustRightInd w:val="0"/>
        <w:spacing w:before="0" w:after="0"/>
        <w:rPr>
          <w:rFonts w:cstheme="majorHAnsi"/>
        </w:rPr>
      </w:pPr>
      <w:r>
        <w:rPr>
          <w:rFonts w:cstheme="majorHAnsi"/>
        </w:rPr>
        <w:t>jeweils einen Dienstleister. Der Bestimmungsort, die Zustell- und Abholzeiten und der Ablauf der Übernahme bzw. Übergabe werden in den Ausschreibungsunterlagen festgelegt.</w:t>
      </w:r>
    </w:p>
    <w:p>
      <w:r>
        <w:rPr>
          <w:rFonts w:cstheme="majorHAnsi"/>
        </w:rPr>
        <w:t xml:space="preserve">Zu diesem Zweck schließt sie als Auftraggeberin für jedes Ausschreibungslos einen Vertrag </w:t>
      </w:r>
      <w:r>
        <w:t>mit einem Vertragspartner (Auftragnehmer) ab.</w:t>
      </w:r>
    </w:p>
    <w:p>
      <w:pPr>
        <w:rPr>
          <w:rFonts w:cstheme="majorHAnsi"/>
        </w:rPr>
      </w:pPr>
    </w:p>
    <w:p>
      <w:pPr>
        <w:pStyle w:val="berschrift1"/>
      </w:pPr>
      <w:bookmarkStart w:id="2" w:name="_Toc222816158"/>
      <w:r>
        <w:t>§ 1 Gegenstand des Vertrages</w:t>
      </w:r>
      <w:bookmarkEnd w:id="2"/>
    </w:p>
    <w:p>
      <w:pPr>
        <w:pStyle w:val="Listenabsatz"/>
        <w:numPr>
          <w:ilvl w:val="0"/>
          <w:numId w:val="3"/>
        </w:numPr>
        <w:ind w:left="284" w:hanging="284"/>
        <w:contextualSpacing w:val="0"/>
        <w:rPr>
          <w:rFonts w:eastAsia="Arial" w:cstheme="majorHAnsi"/>
        </w:rPr>
      </w:pPr>
      <w:r>
        <w:rPr>
          <w:rFonts w:eastAsia="Arial" w:cstheme="majorHAnsi"/>
        </w:rPr>
        <w:t xml:space="preserve">Der Vertrag regelt die wesentlichen Bedingungen für die Erbringung von Postdienstleistungen (hier: Boten- und Kurierdienstleistungen) an die Auftraggeberin. </w:t>
      </w:r>
    </w:p>
    <w:p>
      <w:pPr>
        <w:pStyle w:val="Listenabsatz"/>
        <w:numPr>
          <w:ilvl w:val="0"/>
          <w:numId w:val="3"/>
        </w:numPr>
        <w:ind w:left="284" w:hanging="284"/>
        <w:contextualSpacing w:val="0"/>
        <w:rPr>
          <w:rFonts w:eastAsia="Arial" w:cstheme="majorHAnsi"/>
        </w:rPr>
      </w:pPr>
      <w:r>
        <w:rPr>
          <w:rFonts w:eastAsia="Arial" w:cstheme="majorHAnsi"/>
        </w:rPr>
        <w:t>Auftraggeberin ist die Stadtverwaltung Ludwigshafen am Rhein.</w:t>
      </w:r>
    </w:p>
    <w:p>
      <w:pPr>
        <w:pStyle w:val="Listenabsatz"/>
        <w:numPr>
          <w:ilvl w:val="0"/>
          <w:numId w:val="3"/>
        </w:numPr>
        <w:ind w:left="284" w:hanging="284"/>
        <w:contextualSpacing w:val="0"/>
        <w:rPr>
          <w:rFonts w:cstheme="majorHAnsi"/>
        </w:rPr>
      </w:pPr>
      <w:r>
        <w:rPr>
          <w:rFonts w:cstheme="majorHAnsi"/>
        </w:rPr>
        <w:t>Der/die Auftragnehmer*in übernimmt die Erbringung der in den Ausschreibungsunterlagen nebst ihren Anlagen aufgeführten Leistungen an die Auftraggeberin.</w:t>
      </w:r>
    </w:p>
    <w:p>
      <w:pPr>
        <w:pStyle w:val="Listenabsatz"/>
        <w:numPr>
          <w:ilvl w:val="0"/>
          <w:numId w:val="3"/>
        </w:numPr>
        <w:ind w:left="284" w:hanging="284"/>
        <w:contextualSpacing w:val="0"/>
        <w:rPr>
          <w:rFonts w:cstheme="majorHAnsi"/>
        </w:rPr>
      </w:pPr>
      <w:r>
        <w:rPr>
          <w:rFonts w:cstheme="majorHAnsi"/>
        </w:rPr>
        <w:t xml:space="preserve">Dieser Vertrag ist bereits Bestandteil der Ausschreibung und kommt daher mit Zuschlagserteilung an den/die Auftragnehmer*in auch ohne weitere/zusätzliche Unterschriften zustande. </w:t>
      </w:r>
    </w:p>
    <w:p>
      <w:pPr>
        <w:pStyle w:val="Listenabsatz"/>
        <w:numPr>
          <w:ilvl w:val="0"/>
          <w:numId w:val="3"/>
        </w:numPr>
        <w:ind w:left="284" w:hanging="284"/>
        <w:contextualSpacing w:val="0"/>
        <w:rPr>
          <w:rFonts w:cstheme="majorHAnsi"/>
        </w:rPr>
      </w:pPr>
      <w:r>
        <w:rPr>
          <w:rFonts w:cstheme="majorHAnsi"/>
        </w:rPr>
        <w:t>Es gelten folgende Vertragsbestandteile:</w:t>
      </w:r>
    </w:p>
    <w:p>
      <w:pPr>
        <w:pStyle w:val="Listenabsatz"/>
        <w:numPr>
          <w:ilvl w:val="0"/>
          <w:numId w:val="5"/>
        </w:numPr>
        <w:ind w:left="709" w:hanging="425"/>
        <w:contextualSpacing w:val="0"/>
        <w:rPr>
          <w:rFonts w:cstheme="majorHAnsi"/>
        </w:rPr>
      </w:pPr>
      <w:r>
        <w:rPr>
          <w:rFonts w:cstheme="majorHAnsi"/>
        </w:rPr>
        <w:t>die Vergabe- und Vertragsunterlagen mit allen ihren Anlagen inkl. Bieterrundschreiben</w:t>
      </w:r>
    </w:p>
    <w:p>
      <w:pPr>
        <w:pStyle w:val="Listenabsatz"/>
        <w:numPr>
          <w:ilvl w:val="0"/>
          <w:numId w:val="5"/>
        </w:numPr>
        <w:ind w:left="709" w:hanging="425"/>
        <w:contextualSpacing w:val="0"/>
        <w:rPr>
          <w:rFonts w:cstheme="majorHAnsi"/>
        </w:rPr>
      </w:pPr>
      <w:r>
        <w:rPr>
          <w:rFonts w:cstheme="majorHAnsi"/>
        </w:rPr>
        <w:t>besondere Vertragsbedingungen</w:t>
      </w:r>
    </w:p>
    <w:p>
      <w:pPr>
        <w:pStyle w:val="Listenabsatz"/>
        <w:numPr>
          <w:ilvl w:val="0"/>
          <w:numId w:val="5"/>
        </w:numPr>
        <w:ind w:left="709" w:hanging="425"/>
        <w:contextualSpacing w:val="0"/>
        <w:rPr>
          <w:rFonts w:cstheme="majorHAnsi"/>
        </w:rPr>
      </w:pPr>
      <w:r>
        <w:rPr>
          <w:rFonts w:cstheme="majorHAnsi"/>
        </w:rPr>
        <w:t>etwaige Ergänzende Vertragsbedingungen</w:t>
      </w:r>
    </w:p>
    <w:p>
      <w:pPr>
        <w:pStyle w:val="Listenabsatz"/>
        <w:numPr>
          <w:ilvl w:val="0"/>
          <w:numId w:val="5"/>
        </w:numPr>
        <w:ind w:left="709" w:hanging="425"/>
        <w:contextualSpacing w:val="0"/>
        <w:rPr>
          <w:rFonts w:cstheme="majorHAnsi"/>
        </w:rPr>
      </w:pPr>
      <w:r>
        <w:rPr>
          <w:rFonts w:cstheme="majorHAnsi"/>
        </w:rPr>
        <w:t xml:space="preserve">etwaige Zusätzliche Vertragsbedingungen </w:t>
      </w:r>
    </w:p>
    <w:p>
      <w:pPr>
        <w:pStyle w:val="Listenabsatz"/>
        <w:numPr>
          <w:ilvl w:val="0"/>
          <w:numId w:val="5"/>
        </w:numPr>
        <w:ind w:left="709" w:hanging="425"/>
        <w:contextualSpacing w:val="0"/>
        <w:rPr>
          <w:rFonts w:cstheme="majorHAnsi"/>
        </w:rPr>
      </w:pPr>
      <w:r>
        <w:rPr>
          <w:rFonts w:cstheme="majorHAnsi"/>
        </w:rPr>
        <w:t xml:space="preserve">etwaige allgemeine Technische Vertragsbedingungen </w:t>
      </w:r>
    </w:p>
    <w:p>
      <w:pPr>
        <w:pStyle w:val="Listenabsatz"/>
        <w:numPr>
          <w:ilvl w:val="0"/>
          <w:numId w:val="5"/>
        </w:numPr>
        <w:ind w:left="709" w:hanging="425"/>
        <w:contextualSpacing w:val="0"/>
        <w:rPr>
          <w:rFonts w:cstheme="majorHAnsi"/>
        </w:rPr>
      </w:pPr>
      <w:r>
        <w:rPr>
          <w:rFonts w:cstheme="majorHAnsi"/>
        </w:rPr>
        <w:t>das Angebot des/der Auftragnehmer*in</w:t>
      </w:r>
    </w:p>
    <w:p>
      <w:pPr>
        <w:pStyle w:val="Listenabsatz"/>
        <w:numPr>
          <w:ilvl w:val="0"/>
          <w:numId w:val="5"/>
        </w:numPr>
        <w:ind w:left="709" w:hanging="425"/>
        <w:contextualSpacing w:val="0"/>
        <w:rPr>
          <w:rFonts w:cstheme="majorHAnsi"/>
        </w:rPr>
      </w:pPr>
      <w:r>
        <w:rPr>
          <w:rFonts w:cstheme="majorHAnsi"/>
        </w:rPr>
        <w:t>die allgemeinen vergaberechtlichen Vertragsbedingungen in der bei Veröffentlichung der Vergabeunterlagen geltend Fassung</w:t>
      </w:r>
    </w:p>
    <w:p>
      <w:pPr>
        <w:pStyle w:val="Listenabsatz"/>
        <w:numPr>
          <w:ilvl w:val="0"/>
          <w:numId w:val="5"/>
        </w:numPr>
        <w:ind w:left="709" w:hanging="425"/>
        <w:contextualSpacing w:val="0"/>
        <w:rPr>
          <w:rFonts w:cstheme="majorHAnsi"/>
        </w:rPr>
      </w:pPr>
      <w:r>
        <w:rPr>
          <w:rFonts w:cstheme="majorHAnsi"/>
        </w:rPr>
        <w:t>die allgemeinen gesetzlichen Regelungen</w:t>
      </w:r>
    </w:p>
    <w:p>
      <w:pPr>
        <w:rPr>
          <w:rFonts w:cstheme="majorHAnsi"/>
        </w:rPr>
      </w:pPr>
      <w:r>
        <w:rPr>
          <w:rFonts w:cstheme="majorHAnsi"/>
        </w:rPr>
        <w:t>Diese Anlagen gelten bei Widersprüchen in obiger Reihenfolge nacheinander.</w:t>
      </w:r>
    </w:p>
    <w:p>
      <w:pPr>
        <w:pStyle w:val="berschrift1"/>
        <w:rPr>
          <w:lang w:eastAsia="zh-CN"/>
        </w:rPr>
      </w:pPr>
      <w:bookmarkStart w:id="3" w:name="_Toc222816159"/>
      <w:r>
        <w:rPr>
          <w:lang w:eastAsia="zh-CN"/>
        </w:rPr>
        <w:t>§ 2 Keine Geltung der AGB des/der Auftragnehmer*in</w:t>
      </w:r>
      <w:bookmarkEnd w:id="3"/>
    </w:p>
    <w:p>
      <w:pPr>
        <w:pStyle w:val="Listenabsatz"/>
        <w:ind w:left="0"/>
        <w:contextualSpacing w:val="0"/>
        <w:rPr>
          <w:rFonts w:cstheme="majorHAnsi"/>
          <w:lang w:eastAsia="zh-CN"/>
        </w:rPr>
      </w:pPr>
      <w:r>
        <w:rPr>
          <w:rFonts w:eastAsia="Arial" w:cstheme="majorHAnsi"/>
        </w:rPr>
        <w:t xml:space="preserve">Allgemeine Geschäftsbedingungen (AGB) des/der Auftragnehmer*in werden nicht Bestandteil dieses Vertrages oder einer Bestellung. Die AGB des/der Auftragnehmer*in gelten insbesondere auch dann nicht, wenn sie im Rahmen einer einzelnen Bestellung, der Leistungserbringung oder der Abrechnung </w:t>
      </w:r>
      <w:r>
        <w:rPr>
          <w:rFonts w:eastAsia="Arial" w:cstheme="majorHAnsi"/>
        </w:rPr>
        <w:lastRenderedPageBreak/>
        <w:t xml:space="preserve">in Bezug genommen werden und die Auftraggeberin nicht widerspricht. </w:t>
      </w:r>
      <w:r>
        <w:t>Mit der Abgabe des Angebots durch den Bieter, werden vom Bieter oder von Dritten einbezogene AGB unwirksam und finden keine Anwendung.</w:t>
      </w:r>
    </w:p>
    <w:p>
      <w:pPr>
        <w:pStyle w:val="berschrift1"/>
        <w:rPr>
          <w:lang w:eastAsia="zh-CN"/>
        </w:rPr>
      </w:pPr>
      <w:bookmarkStart w:id="4" w:name="_Toc222816160"/>
      <w:r>
        <w:rPr>
          <w:lang w:eastAsia="zh-CN"/>
        </w:rPr>
        <w:t xml:space="preserve">§ 3 Umfang der </w:t>
      </w:r>
      <w:r>
        <w:t>Leistungen</w:t>
      </w:r>
      <w:r>
        <w:rPr>
          <w:lang w:eastAsia="zh-CN"/>
        </w:rPr>
        <w:t>, Leistungsort, Leistungsfrist</w:t>
      </w:r>
      <w:bookmarkEnd w:id="4"/>
    </w:p>
    <w:p>
      <w:pPr>
        <w:pStyle w:val="Listenabsatz"/>
        <w:numPr>
          <w:ilvl w:val="0"/>
          <w:numId w:val="12"/>
        </w:numPr>
        <w:ind w:left="284" w:hanging="284"/>
        <w:contextualSpacing w:val="0"/>
        <w:rPr>
          <w:rFonts w:cstheme="majorHAnsi"/>
        </w:rPr>
      </w:pPr>
      <w:r>
        <w:rPr>
          <w:rFonts w:cstheme="majorHAnsi"/>
        </w:rPr>
        <w:t xml:space="preserve">Der/die Auftragnehmer*in übernimmt die Dienstleistungen gemäß Leistungsbeschreibung/ Leistungsverzeichnis/Kriterienkatalog/Preisblatt. </w:t>
      </w:r>
    </w:p>
    <w:p>
      <w:pPr>
        <w:pStyle w:val="Textkrper"/>
        <w:numPr>
          <w:ilvl w:val="0"/>
          <w:numId w:val="12"/>
        </w:numPr>
        <w:spacing w:after="120"/>
        <w:ind w:left="284" w:hanging="284"/>
        <w:rPr>
          <w:rFonts w:asciiTheme="majorHAnsi" w:hAnsiTheme="majorHAnsi" w:cstheme="majorHAnsi"/>
        </w:rPr>
      </w:pPr>
      <w:r>
        <w:rPr>
          <w:rFonts w:asciiTheme="majorHAnsi" w:hAnsiTheme="majorHAnsi" w:cstheme="majorHAnsi"/>
          <w:lang w:val="de-DE"/>
        </w:rPr>
        <w:t>Vereinbarte</w:t>
      </w:r>
      <w:r>
        <w:rPr>
          <w:rFonts w:asciiTheme="majorHAnsi" w:hAnsiTheme="majorHAnsi" w:cstheme="majorHAnsi"/>
        </w:rPr>
        <w:t xml:space="preserve"> Leistungsfristen sind verbindlich.</w:t>
      </w:r>
    </w:p>
    <w:p>
      <w:pPr>
        <w:pStyle w:val="Listenabsatz"/>
        <w:numPr>
          <w:ilvl w:val="0"/>
          <w:numId w:val="12"/>
        </w:numPr>
        <w:autoSpaceDE w:val="0"/>
        <w:ind w:left="284" w:hanging="284"/>
        <w:contextualSpacing w:val="0"/>
        <w:rPr>
          <w:rFonts w:cstheme="majorHAnsi"/>
        </w:rPr>
      </w:pPr>
      <w:r>
        <w:rPr>
          <w:rFonts w:cstheme="majorHAnsi"/>
        </w:rPr>
        <w:t>Leistungsort ist – soweit nichts anderes vereinbart wird – entsprechend der/des Leistungsbeschreibung/Leistungsverzeichnis/Kriterienkatalog/Anlieferadressen</w:t>
      </w:r>
      <w:r>
        <w:rPr>
          <w:rFonts w:cstheme="majorHAnsi"/>
          <w:lang w:eastAsia="zh-CN"/>
        </w:rPr>
        <w:t>. Der/die Auftragnehmer*in befördert Sendungen zum Leistungsort und liefert diese dort an den Empfangsberechtigten ab.</w:t>
      </w:r>
    </w:p>
    <w:p>
      <w:pPr>
        <w:rPr>
          <w:rFonts w:cstheme="majorHAnsi"/>
          <w:lang w:eastAsia="zh-CN"/>
        </w:rPr>
      </w:pPr>
    </w:p>
    <w:p>
      <w:pPr>
        <w:pStyle w:val="berschrift1"/>
        <w:rPr>
          <w:lang w:eastAsia="zh-CN"/>
        </w:rPr>
      </w:pPr>
      <w:bookmarkStart w:id="5" w:name="_Toc222816161"/>
      <w:r>
        <w:rPr>
          <w:lang w:eastAsia="zh-CN"/>
        </w:rPr>
        <w:t xml:space="preserve">§ 4 </w:t>
      </w:r>
      <w:r>
        <w:t>Einbeziehung</w:t>
      </w:r>
      <w:r>
        <w:rPr>
          <w:lang w:eastAsia="zh-CN"/>
        </w:rPr>
        <w:t xml:space="preserve"> Dritter in die Leistungserbringung</w:t>
      </w:r>
      <w:bookmarkEnd w:id="5"/>
    </w:p>
    <w:p>
      <w:pPr>
        <w:rPr>
          <w:rFonts w:cstheme="majorHAnsi"/>
        </w:rPr>
      </w:pPr>
      <w:r>
        <w:rPr>
          <w:rFonts w:cstheme="majorHAnsi"/>
        </w:rPr>
        <w:t>Der/die Auftragnehmer*in darf für die Ausführung von Leistungen Erfüllungsgehilfen ohne Zustimmung der Auftraggeberin nur einsetzen, soweit sie ihre Leistungen in der Europäischen Gemeinschaft oder im Europäischen Wirtschaftsraum erbringen.</w:t>
      </w:r>
    </w:p>
    <w:p>
      <w:pPr>
        <w:rPr>
          <w:rFonts w:cstheme="majorHAnsi"/>
          <w:lang w:eastAsia="zh-CN"/>
        </w:rPr>
      </w:pPr>
    </w:p>
    <w:p>
      <w:pPr>
        <w:pStyle w:val="berschrift1"/>
        <w:ind w:left="284" w:hanging="284"/>
        <w:rPr>
          <w:lang w:eastAsia="zh-CN"/>
        </w:rPr>
      </w:pPr>
      <w:bookmarkStart w:id="6" w:name="_Toc222816162"/>
      <w:r>
        <w:rPr>
          <w:lang w:eastAsia="zh-CN"/>
        </w:rPr>
        <w:t>§ 5 Gewährleistung und Verzug</w:t>
      </w:r>
      <w:bookmarkEnd w:id="6"/>
      <w:r>
        <w:rPr>
          <w:lang w:eastAsia="zh-CN"/>
        </w:rPr>
        <w:t xml:space="preserve"> </w:t>
      </w:r>
    </w:p>
    <w:p>
      <w:pPr>
        <w:pStyle w:val="Listenabsatz"/>
        <w:numPr>
          <w:ilvl w:val="0"/>
          <w:numId w:val="16"/>
        </w:numPr>
        <w:ind w:left="284" w:hanging="284"/>
        <w:contextualSpacing w:val="0"/>
        <w:rPr>
          <w:rFonts w:cstheme="majorHAnsi"/>
          <w:lang w:eastAsia="zh-CN"/>
        </w:rPr>
      </w:pPr>
      <w:r>
        <w:rPr>
          <w:rFonts w:eastAsia="Arial" w:cstheme="majorHAnsi"/>
        </w:rPr>
        <w:t>Die Gewährleistung und die Verzugsfolgen richten sich nach den Maßgaben des Bürgerlichen Gesetzbuchs (BGB) und des Vergaberechts.</w:t>
      </w:r>
    </w:p>
    <w:p>
      <w:pPr>
        <w:pStyle w:val="Listenabsatz"/>
        <w:numPr>
          <w:ilvl w:val="0"/>
          <w:numId w:val="16"/>
        </w:numPr>
        <w:ind w:left="284" w:hanging="284"/>
        <w:contextualSpacing w:val="0"/>
        <w:rPr>
          <w:rFonts w:cstheme="majorHAnsi"/>
          <w:lang w:eastAsia="zh-CN"/>
        </w:rPr>
      </w:pPr>
      <w:r>
        <w:rPr>
          <w:rFonts w:eastAsia="Arial" w:cstheme="majorHAnsi"/>
        </w:rPr>
        <w:t>Im Übrigen gilt: Ist der/die Auftragnehmer*in aus von ihm zu vertretenden Gründen nicht in der Lage, die von der Auftraggeberin bestellte Leistung innerhalb der vereinbarten Leistungsfrist ordnungsgemäß zu erbringen, so hat er dies der Auftraggeberin unverzüglich mitzuteilen. In diesem Falle ist die Auftraggeberin berechtigt, die Leistung solange bei einem Drittunternehmen ihrer Wahl zu bestellen, bis der/die Auftragnehmer*in seine/ihre Leistungsfähigkeit wieder anzeigt. Der/die Auftragnehmer*in hat der Auftraggeberin die Kosten, die dieser aus der Drittbeauftragung entstehen, nach Übersendung einer prüfbaren Aufstellung zu erstatten.</w:t>
      </w:r>
    </w:p>
    <w:p>
      <w:pPr>
        <w:rPr>
          <w:rFonts w:cstheme="majorHAnsi"/>
        </w:rPr>
      </w:pPr>
    </w:p>
    <w:p>
      <w:pPr>
        <w:pStyle w:val="berschrift1"/>
        <w:ind w:left="284" w:hanging="284"/>
        <w:rPr>
          <w:lang w:eastAsia="zh-CN"/>
        </w:rPr>
      </w:pPr>
      <w:bookmarkStart w:id="7" w:name="_Toc222816163"/>
      <w:r>
        <w:rPr>
          <w:lang w:eastAsia="zh-CN"/>
        </w:rPr>
        <w:t>§ 6 Bezahlung der Leistung durch die Auftraggeberin</w:t>
      </w:r>
      <w:bookmarkEnd w:id="7"/>
    </w:p>
    <w:p>
      <w:pPr>
        <w:pStyle w:val="Listenabsatz"/>
        <w:numPr>
          <w:ilvl w:val="0"/>
          <w:numId w:val="15"/>
        </w:numPr>
        <w:ind w:left="284" w:hanging="284"/>
        <w:contextualSpacing w:val="0"/>
        <w:rPr>
          <w:rFonts w:cstheme="majorHAnsi"/>
        </w:rPr>
      </w:pPr>
      <w:r>
        <w:rPr>
          <w:rFonts w:cstheme="majorHAnsi"/>
        </w:rPr>
        <w:t xml:space="preserve">Die vereinbarte Vergütung ist entsprechend der Angaben des/der Auftragsnehmer*in im Preisblatt der Ausschreibungsunterlagen. Von ihr umfasst sind, soweit im Einzelfall nicht anderes vereinbart, auch alle eventuellen Nebenleistungen wie bspw. Abgaben, Lagerentgelte, Reisekosten, Nebenkosten, Materialkosten, Reisezeiten. </w:t>
      </w:r>
    </w:p>
    <w:p>
      <w:pPr>
        <w:pStyle w:val="Listenabsatz"/>
        <w:numPr>
          <w:ilvl w:val="0"/>
          <w:numId w:val="15"/>
        </w:numPr>
        <w:tabs>
          <w:tab w:val="right" w:pos="8921"/>
        </w:tabs>
        <w:suppressAutoHyphens/>
        <w:ind w:left="284" w:hanging="284"/>
        <w:contextualSpacing w:val="0"/>
        <w:rPr>
          <w:rFonts w:cstheme="majorHAnsi"/>
        </w:rPr>
      </w:pPr>
      <w:r>
        <w:rPr>
          <w:rFonts w:eastAsia="Arial" w:cstheme="majorHAnsi"/>
        </w:rPr>
        <w:t xml:space="preserve">Der/die Auftragnehmer*in hat für die von ihm erbrachten Leistungen eine prüffähige Rechnung zu erstellen, in der am Ende der Umsatzsteuerbetrag auszuweisen ist. </w:t>
      </w:r>
    </w:p>
    <w:p>
      <w:pPr>
        <w:pStyle w:val="Listenabsatz"/>
        <w:numPr>
          <w:ilvl w:val="0"/>
          <w:numId w:val="15"/>
        </w:numPr>
        <w:tabs>
          <w:tab w:val="right" w:pos="8921"/>
        </w:tabs>
        <w:suppressAutoHyphens/>
        <w:autoSpaceDE w:val="0"/>
        <w:autoSpaceDN w:val="0"/>
        <w:adjustRightInd w:val="0"/>
        <w:ind w:left="284" w:hanging="357"/>
        <w:contextualSpacing w:val="0"/>
        <w:rPr>
          <w:rFonts w:cs="Arial"/>
          <w:color w:val="000000"/>
        </w:rPr>
      </w:pPr>
      <w:r>
        <w:rPr>
          <w:rFonts w:cstheme="majorHAnsi"/>
        </w:rPr>
        <w:t>Die Rechnungsstellung erfolgt nach Leistungserbringung. Abschlagszahlungen werden nicht geleistet. Rechnungsstellungen erfolgen durch den/die Auftragnehmer unter Angabe des auf dem Auftragsschreiben vermerkten Bestellkennzeichens</w:t>
      </w:r>
      <w:r>
        <w:rPr>
          <w:rFonts w:cs="Arial"/>
          <w:color w:val="000000"/>
          <w:lang w:eastAsia="de-DE"/>
        </w:rPr>
        <w:t xml:space="preserve"> (LUX-Nummer LUX1111-0300G Post-, Scan- und Druckdienste). </w:t>
      </w:r>
      <w:r>
        <w:rPr>
          <w:rFonts w:cs="Arial"/>
          <w:color w:val="000000"/>
        </w:rPr>
        <w:t>Die</w:t>
      </w:r>
      <w:r>
        <w:t xml:space="preserve"> Regelungen der den Ausschreibungsunterlagen beigefügten</w:t>
      </w:r>
      <w:r>
        <w:rPr>
          <w:rFonts w:cs="Arial"/>
          <w:color w:val="000000"/>
          <w:szCs w:val="24"/>
        </w:rPr>
        <w:t xml:space="preserve"> </w:t>
      </w:r>
      <w:r>
        <w:t>„</w:t>
      </w:r>
      <w:r>
        <w:rPr>
          <w:rFonts w:cs="Arial"/>
          <w:color w:val="000000"/>
          <w:szCs w:val="24"/>
        </w:rPr>
        <w:t>Informationen zum Einreichen elektronischer Rechnungen über den zentralen E-Rechnungseingang RLP</w:t>
      </w:r>
      <w:r>
        <w:t>“</w:t>
      </w:r>
      <w:r>
        <w:rPr>
          <w:rFonts w:cs="Arial"/>
          <w:color w:val="000000"/>
          <w:szCs w:val="24"/>
        </w:rPr>
        <w:t xml:space="preserve"> sind zu beachten.</w:t>
      </w:r>
    </w:p>
    <w:p>
      <w:pPr>
        <w:pStyle w:val="Listenabsatz"/>
        <w:numPr>
          <w:ilvl w:val="0"/>
          <w:numId w:val="15"/>
        </w:numPr>
        <w:tabs>
          <w:tab w:val="right" w:pos="8921"/>
        </w:tabs>
        <w:suppressAutoHyphens/>
        <w:autoSpaceDE w:val="0"/>
        <w:autoSpaceDN w:val="0"/>
        <w:adjustRightInd w:val="0"/>
        <w:ind w:left="284" w:hanging="357"/>
        <w:contextualSpacing w:val="0"/>
        <w:rPr>
          <w:rFonts w:cs="Arial"/>
          <w:color w:val="000000"/>
        </w:rPr>
      </w:pPr>
      <w:r>
        <w:rPr>
          <w:rFonts w:cs="Arial"/>
          <w:color w:val="000000"/>
          <w:lang w:eastAsia="de-DE"/>
        </w:rPr>
        <w:lastRenderedPageBreak/>
        <w:t xml:space="preserve">Rechnungen ohne Angabe des Bestellkennzeichens können nicht bearbeitet werden. Sollte das Bestellkennzeichen fehlen und es daraufhin zu einer verspäteten Zahlung kommen, ist diese Verzögerung nicht von der Stadtverwaltung Ludwigshafen zu vertreten. </w:t>
      </w:r>
      <w:r>
        <w:rPr>
          <w:rFonts w:cs="Arial"/>
          <w:color w:val="000000"/>
        </w:rPr>
        <w:t xml:space="preserve">Bitte auch die vergaberechtlichen Bedingungen beachten. </w:t>
      </w:r>
    </w:p>
    <w:p>
      <w:pPr>
        <w:numPr>
          <w:ilvl w:val="0"/>
          <w:numId w:val="15"/>
        </w:numPr>
        <w:ind w:left="284" w:hanging="284"/>
        <w:rPr>
          <w:rFonts w:cstheme="majorHAnsi"/>
          <w:lang w:eastAsia="zh-CN"/>
        </w:rPr>
      </w:pPr>
      <w:r>
        <w:rPr>
          <w:rFonts w:cstheme="majorHAnsi"/>
          <w:lang w:eastAsia="zh-CN"/>
        </w:rPr>
        <w:t xml:space="preserve">Leistungen, die der Auftragnehmer ohne Auftrag oder unter eigenmächtiger Abweichung vom Vertrag ausführt, werden nicht vergütet. </w:t>
      </w:r>
    </w:p>
    <w:p>
      <w:pPr>
        <w:rPr>
          <w:rFonts w:cstheme="majorHAnsi"/>
        </w:rPr>
      </w:pPr>
    </w:p>
    <w:p>
      <w:pPr>
        <w:pStyle w:val="berschrift1"/>
        <w:rPr>
          <w:lang w:eastAsia="zh-CN"/>
        </w:rPr>
      </w:pPr>
      <w:bookmarkStart w:id="8" w:name="_Toc222816164"/>
      <w:r>
        <w:rPr>
          <w:lang w:eastAsia="zh-CN"/>
        </w:rPr>
        <w:t>§ 7 Zahlungsfristen; Skonto</w:t>
      </w:r>
      <w:bookmarkEnd w:id="8"/>
    </w:p>
    <w:p>
      <w:pPr>
        <w:numPr>
          <w:ilvl w:val="0"/>
          <w:numId w:val="25"/>
        </w:numPr>
        <w:ind w:left="284" w:hanging="284"/>
        <w:rPr>
          <w:rFonts w:cstheme="majorHAnsi"/>
          <w:lang w:eastAsia="zh-CN"/>
        </w:rPr>
      </w:pPr>
      <w:r>
        <w:rPr>
          <w:rFonts w:cstheme="majorHAnsi"/>
          <w:lang w:eastAsia="zh-CN"/>
        </w:rPr>
        <w:t xml:space="preserve">Die Vergütung ist nach Erbringung der Leistung monatlich nachträglich fällig. </w:t>
      </w:r>
    </w:p>
    <w:p>
      <w:pPr>
        <w:numPr>
          <w:ilvl w:val="0"/>
          <w:numId w:val="25"/>
        </w:numPr>
        <w:ind w:left="284" w:hanging="284"/>
        <w:rPr>
          <w:rFonts w:cstheme="majorHAnsi"/>
          <w:lang w:eastAsia="zh-CN"/>
        </w:rPr>
      </w:pPr>
      <w:r>
        <w:rPr>
          <w:rFonts w:cstheme="majorHAnsi"/>
        </w:rPr>
        <w:t>Zahlungen sind 30 Tage nach Zugang einer prüffähigen Rechnung und vollständiger Leistungserbringung fällig. Die Zahlung erfolgt ohne Skontoabzug.</w:t>
      </w:r>
    </w:p>
    <w:p>
      <w:pPr>
        <w:numPr>
          <w:ilvl w:val="0"/>
          <w:numId w:val="25"/>
        </w:numPr>
        <w:ind w:left="284" w:hanging="284"/>
        <w:rPr>
          <w:rFonts w:cstheme="majorHAnsi"/>
          <w:lang w:eastAsia="zh-CN"/>
        </w:rPr>
      </w:pPr>
      <w:r>
        <w:rPr>
          <w:rFonts w:cstheme="majorHAnsi"/>
        </w:rPr>
        <w:t>Verzögerungen, z.B. wegen Vorlage nicht aufgegliederter Rechnungen, falscher Preise etc. hat der Auftragnehmer zu vertreten.</w:t>
      </w:r>
    </w:p>
    <w:p>
      <w:pPr>
        <w:rPr>
          <w:rFonts w:cstheme="majorHAnsi"/>
          <w:lang w:eastAsia="zh-CN"/>
        </w:rPr>
      </w:pPr>
    </w:p>
    <w:p>
      <w:pPr>
        <w:pStyle w:val="berschrift1"/>
        <w:rPr>
          <w:lang w:eastAsia="zh-CN"/>
        </w:rPr>
      </w:pPr>
      <w:bookmarkStart w:id="9" w:name="_Toc222816165"/>
      <w:r>
        <w:rPr>
          <w:lang w:eastAsia="zh-CN"/>
        </w:rPr>
        <w:t>§ 8 Mitwirkungspflichten der Auftraggeberin</w:t>
      </w:r>
      <w:bookmarkEnd w:id="9"/>
    </w:p>
    <w:p>
      <w:pPr>
        <w:autoSpaceDE w:val="0"/>
        <w:rPr>
          <w:rFonts w:cstheme="majorHAnsi"/>
        </w:rPr>
      </w:pPr>
      <w:r>
        <w:rPr>
          <w:rFonts w:cstheme="majorHAnsi"/>
        </w:rPr>
        <w:t>Die Auftraggeberin wird den/die Auftragnehmer*in bei der Erbringung der vertraglichen Leistungen in angemessenem Umfang unterstützen. Sie wird ihm/ihr insbesondere die erforderlichen Informationen erteilen. Darüber hinaus gehende Mitwirkungspflichten bedürfen der gesonderten Vereinbarung.</w:t>
      </w:r>
    </w:p>
    <w:p>
      <w:pPr>
        <w:rPr>
          <w:rFonts w:cstheme="majorHAnsi"/>
        </w:rPr>
      </w:pPr>
    </w:p>
    <w:p>
      <w:pPr>
        <w:pStyle w:val="berschrift1"/>
        <w:rPr>
          <w:lang w:eastAsia="zh-CN"/>
        </w:rPr>
      </w:pPr>
      <w:bookmarkStart w:id="10" w:name="_Toc222816166"/>
      <w:r>
        <w:rPr>
          <w:lang w:eastAsia="zh-CN"/>
        </w:rPr>
        <w:t>§ 9 Leistungsänderungen durch die Auftraggeberin</w:t>
      </w:r>
      <w:bookmarkEnd w:id="10"/>
    </w:p>
    <w:p>
      <w:pPr>
        <w:pStyle w:val="Listenabsatz"/>
        <w:numPr>
          <w:ilvl w:val="0"/>
          <w:numId w:val="13"/>
        </w:numPr>
        <w:tabs>
          <w:tab w:val="center" w:pos="4749"/>
        </w:tabs>
        <w:contextualSpacing w:val="0"/>
        <w:rPr>
          <w:rFonts w:eastAsia="Arial" w:cstheme="majorHAnsi"/>
        </w:rPr>
      </w:pPr>
      <w:r>
        <w:rPr>
          <w:rFonts w:eastAsia="Arial" w:cstheme="majorHAnsi"/>
        </w:rPr>
        <w:t xml:space="preserve">Sofern neue aufsichtsrechtliche, gesetzliche oder gerichtliche Anordnungen oder sonstige, für die Auftraggeberin zwingende Anforderungen eine Änderung des Vertrages erfordern, werden die Partner den Vertrag entsprechend anpassen, es sei denn, dies ist für den/die Auftragnehmer*in unzumutbar. </w:t>
      </w:r>
    </w:p>
    <w:p>
      <w:pPr>
        <w:pStyle w:val="Listenabsatz"/>
        <w:numPr>
          <w:ilvl w:val="0"/>
          <w:numId w:val="13"/>
        </w:numPr>
        <w:tabs>
          <w:tab w:val="center" w:pos="4749"/>
        </w:tabs>
        <w:contextualSpacing w:val="0"/>
        <w:rPr>
          <w:rFonts w:eastAsia="Arial" w:cstheme="majorHAnsi"/>
        </w:rPr>
      </w:pPr>
      <w:r>
        <w:rPr>
          <w:rFonts w:eastAsia="Arial" w:cstheme="majorHAnsi"/>
        </w:rPr>
        <w:t>Ändert sich der Leistungsumfang, zum Beispiel durch eine Veränderung der Anzahl der Organisationseinheiten oder deren Standort, oder eine Änderung der Entfernungen in veränderten Tourenplänen um mehr als +/- 10 % können Auftragnehmer*in und Auftraggeberin Preisgespräche verlangen.</w:t>
      </w:r>
    </w:p>
    <w:p>
      <w:pPr>
        <w:pStyle w:val="Listenabsatz"/>
        <w:numPr>
          <w:ilvl w:val="0"/>
          <w:numId w:val="13"/>
        </w:numPr>
        <w:tabs>
          <w:tab w:val="center" w:pos="4749"/>
        </w:tabs>
        <w:contextualSpacing w:val="0"/>
        <w:rPr>
          <w:rFonts w:eastAsia="Arial" w:cstheme="majorHAnsi"/>
        </w:rPr>
      </w:pPr>
      <w:r>
        <w:rPr>
          <w:rFonts w:eastAsia="Arial" w:cstheme="majorHAnsi"/>
        </w:rPr>
        <w:t>Das Änderungsverlangen ist schriftlich mitzuteilen.</w:t>
      </w:r>
    </w:p>
    <w:p>
      <w:pPr>
        <w:pStyle w:val="Listenabsatz"/>
        <w:numPr>
          <w:ilvl w:val="0"/>
          <w:numId w:val="13"/>
        </w:numPr>
        <w:contextualSpacing w:val="0"/>
        <w:rPr>
          <w:rFonts w:cstheme="majorHAnsi"/>
          <w:lang w:eastAsia="zh-CN"/>
        </w:rPr>
      </w:pPr>
      <w:r>
        <w:rPr>
          <w:rFonts w:eastAsia="Arial" w:cstheme="majorHAnsi"/>
        </w:rPr>
        <w:t>Der/die Auftragnehmer*in hat ein Änderungsverlangen der Auftraggeberin zu prüfen und dieser innerhalb von zehn Arbeitstagen schriftlich mitzuteilen, ob die gewünschte Leistungsänderung für ihn zumutbar ist.</w:t>
      </w:r>
    </w:p>
    <w:p>
      <w:pPr>
        <w:pStyle w:val="Listenabsatz"/>
        <w:numPr>
          <w:ilvl w:val="0"/>
          <w:numId w:val="13"/>
        </w:numPr>
        <w:autoSpaceDE w:val="0"/>
        <w:contextualSpacing w:val="0"/>
        <w:rPr>
          <w:rFonts w:cstheme="majorHAnsi"/>
        </w:rPr>
      </w:pPr>
      <w:r>
        <w:rPr>
          <w:rFonts w:cstheme="majorHAnsi"/>
        </w:rPr>
        <w:t>Ist das Änderungsverlangen zumutbar aber eine umfangreiche Prüfung des Änderungsverlangens erforderlich, hat der/die Auftragnehmer*in gleichzeitig ein entsprechendes Prüfungsangebot mit Angaben zur Vergütung zu unterbreiten. Die Auftraggeberin wird binnen zehn Arbeitstagen entweder den Prüfungsauftrag erteilen oder ablehnen.</w:t>
      </w:r>
    </w:p>
    <w:p>
      <w:pPr>
        <w:ind w:left="331"/>
        <w:rPr>
          <w:rFonts w:cstheme="majorHAnsi"/>
        </w:rPr>
      </w:pPr>
      <w:r>
        <w:rPr>
          <w:rFonts w:cstheme="majorHAnsi"/>
        </w:rPr>
        <w:t xml:space="preserve">Ist eine umfangreiche Prüfung des Änderungsverlangens nicht erforderlich, hat der/die Auftragnehmer*in entweder ein Realisierungsangebot unter Angabe von Leistungszeitraum, geplanten Terminen und Auswirkungen auf die Vergütung zu unterbreiten oder die Durchführung der beantragten Veränderung zu vereinbaren. </w:t>
      </w:r>
    </w:p>
    <w:p>
      <w:pPr>
        <w:pStyle w:val="Listenabsatz"/>
        <w:ind w:left="331"/>
        <w:contextualSpacing w:val="0"/>
        <w:rPr>
          <w:rFonts w:cstheme="majorHAnsi"/>
          <w:lang w:eastAsia="zh-CN"/>
        </w:rPr>
      </w:pPr>
      <w:r>
        <w:rPr>
          <w:rFonts w:cstheme="majorHAnsi"/>
        </w:rPr>
        <w:lastRenderedPageBreak/>
        <w:t xml:space="preserve">Kommt die notwendige Anpassung der vertraglichen Vereinbarung nicht zustande, so werden die Arbeiten auf der Grundlage des Vertrages weitergeführt. </w:t>
      </w:r>
    </w:p>
    <w:p>
      <w:pPr>
        <w:pStyle w:val="Listenabsatz"/>
        <w:numPr>
          <w:ilvl w:val="0"/>
          <w:numId w:val="13"/>
        </w:numPr>
        <w:ind w:left="329" w:hanging="357"/>
        <w:contextualSpacing w:val="0"/>
        <w:rPr>
          <w:rFonts w:cstheme="majorHAnsi"/>
          <w:lang w:eastAsia="zh-CN"/>
        </w:rPr>
      </w:pPr>
      <w:r>
        <w:rPr>
          <w:rFonts w:eastAsia="Arial" w:cstheme="majorHAnsi"/>
        </w:rPr>
        <w:t xml:space="preserve">Hat die von der Auftraggeberin gewünschte Änderung weitere Auswirkungen (z.B. auf vereinbarte Termine), so hat der/die Auftragnehmer*in dies der Auftraggeberin unverzüglich schriftlich mitzuteilen. Die Partner haben sich unverzüglich zu einigen. Solange eine solche Einigung nicht zustande kommt, verbleibt es beim bisherigen Leistungsinhalt. </w:t>
      </w:r>
    </w:p>
    <w:p>
      <w:pPr>
        <w:pStyle w:val="Listenabsatz"/>
        <w:numPr>
          <w:ilvl w:val="0"/>
          <w:numId w:val="13"/>
        </w:numPr>
        <w:tabs>
          <w:tab w:val="center" w:pos="4749"/>
        </w:tabs>
        <w:ind w:left="329" w:hanging="357"/>
        <w:contextualSpacing w:val="0"/>
        <w:rPr>
          <w:rFonts w:eastAsia="Arial" w:cstheme="majorHAnsi"/>
        </w:rPr>
      </w:pPr>
      <w:r>
        <w:rPr>
          <w:rFonts w:eastAsia="Arial" w:cstheme="majorHAnsi"/>
        </w:rPr>
        <w:t>Alle Änderungen und Ergänzungen dieses Vertrages inklusive der Anlagen bedürfen einer von beiden Parteien unterzeichneten Vereinbarung und müssen ausdrücklich als Vertragsänderung (Nachtrag 1, Nachtrag 2 usw.) bezeichnet sein.</w:t>
      </w:r>
    </w:p>
    <w:p>
      <w:pPr>
        <w:pStyle w:val="Listenabsatz"/>
        <w:numPr>
          <w:ilvl w:val="0"/>
          <w:numId w:val="13"/>
        </w:numPr>
        <w:ind w:left="329" w:hanging="357"/>
        <w:contextualSpacing w:val="0"/>
        <w:rPr>
          <w:rFonts w:cstheme="majorHAnsi"/>
          <w:lang w:eastAsia="zh-CN"/>
        </w:rPr>
      </w:pPr>
      <w:r>
        <w:rPr>
          <w:rFonts w:cstheme="majorHAnsi"/>
          <w:lang w:eastAsia="zh-CN"/>
        </w:rPr>
        <w:t>Werden durch Änderungen in der Beschaffenheit der Leistung die Grundlagen des Preises für die im Vertrag vorgesehene Leistung geändert, so ist ein neuer Preis unter Berücksichtigung der Mehr- und Minderkosten zu vereinbaren. In der Vereinbarung sind etwaige Auswirkungen der Leistungsänderung auf sonstige Vertragsbedingungen, insbesondere auf Ausführungsfristen, zu berücksichtigen. Diese Vereinbarung ist unverzüglich zu treffen.</w:t>
      </w:r>
    </w:p>
    <w:p>
      <w:pPr>
        <w:rPr>
          <w:rFonts w:cstheme="majorHAnsi"/>
        </w:rPr>
      </w:pPr>
    </w:p>
    <w:p>
      <w:pPr>
        <w:pStyle w:val="berschrift1"/>
        <w:rPr>
          <w:lang w:eastAsia="zh-CN"/>
        </w:rPr>
      </w:pPr>
      <w:bookmarkStart w:id="11" w:name="_Toc222816167"/>
      <w:r>
        <w:rPr>
          <w:lang w:eastAsia="zh-CN"/>
        </w:rPr>
        <w:t>§ 10 Kundenservice und Reklamationsmanagement</w:t>
      </w:r>
      <w:bookmarkEnd w:id="11"/>
    </w:p>
    <w:p>
      <w:pPr>
        <w:pStyle w:val="Listenabsatz"/>
        <w:numPr>
          <w:ilvl w:val="0"/>
          <w:numId w:val="36"/>
        </w:numPr>
        <w:tabs>
          <w:tab w:val="center" w:pos="4749"/>
        </w:tabs>
        <w:contextualSpacing w:val="0"/>
        <w:rPr>
          <w:rFonts w:eastAsia="Arial" w:cstheme="majorHAnsi"/>
        </w:rPr>
      </w:pPr>
      <w:r>
        <w:rPr>
          <w:rFonts w:eastAsia="Arial" w:cstheme="majorHAnsi"/>
        </w:rPr>
        <w:t>Auf Reklamationen ist durch den/die Auftragnehmer*in innerhalb von zwei Arbeitstagen zu reagieren. Die Klärung der Reklamation bzw. die einvernehmliche Regelung mit der Auftraggeberin hat durch den/die Auftragnehmer*in nach spätestens einer Woche endgültig zu erfolgen.</w:t>
      </w:r>
    </w:p>
    <w:p>
      <w:pPr>
        <w:pStyle w:val="Listenabsatz"/>
        <w:numPr>
          <w:ilvl w:val="0"/>
          <w:numId w:val="36"/>
        </w:numPr>
        <w:tabs>
          <w:tab w:val="center" w:pos="4749"/>
        </w:tabs>
        <w:ind w:left="329" w:hanging="357"/>
        <w:contextualSpacing w:val="0"/>
        <w:rPr>
          <w:rFonts w:eastAsia="Arial" w:cstheme="majorHAnsi"/>
        </w:rPr>
      </w:pPr>
      <w:r>
        <w:rPr>
          <w:rFonts w:eastAsia="Arial" w:cstheme="majorHAnsi"/>
        </w:rPr>
        <w:t xml:space="preserve">Der/die Auftragnehmer*in hat für die Entgegennahme von Reklamationen einen festen, werktäglich von 08:00 Uhr bis 15:00 Uhr erreichbaren Ansprechpartner*in unverzüglich nach Abschluss des Vertrages zu benennen. Die Stellvertretung dieses/dieser Ansprechpartner*in muss klar geregelt sein. </w:t>
      </w:r>
    </w:p>
    <w:p>
      <w:pPr>
        <w:pStyle w:val="Listenabsatz"/>
        <w:numPr>
          <w:ilvl w:val="0"/>
          <w:numId w:val="36"/>
        </w:numPr>
        <w:tabs>
          <w:tab w:val="center" w:pos="4749"/>
        </w:tabs>
        <w:ind w:left="329" w:hanging="357"/>
        <w:contextualSpacing w:val="0"/>
        <w:rPr>
          <w:rFonts w:ascii="Calibri Light" w:hAnsi="Calibri Light" w:cs="Calibri Light"/>
        </w:rPr>
      </w:pPr>
      <w:r>
        <w:rPr>
          <w:rFonts w:eastAsia="Arial" w:cstheme="majorHAnsi"/>
        </w:rPr>
        <w:t>Der/die Auftragnehmer*in</w:t>
      </w:r>
      <w:r>
        <w:rPr>
          <w:rFonts w:ascii="Calibri Light" w:hAnsi="Calibri Light" w:cs="Calibri Light"/>
        </w:rPr>
        <w:t xml:space="preserve"> stellt die Verfügbarkeit der Leistungserbringung stets sicher.</w:t>
      </w:r>
    </w:p>
    <w:p>
      <w:pPr>
        <w:rPr>
          <w:rFonts w:cstheme="majorHAnsi"/>
        </w:rPr>
      </w:pPr>
    </w:p>
    <w:p>
      <w:pPr>
        <w:pStyle w:val="berschrift1"/>
        <w:rPr>
          <w:lang w:eastAsia="zh-CN"/>
        </w:rPr>
      </w:pPr>
      <w:bookmarkStart w:id="12" w:name="_Toc222816168"/>
      <w:r>
        <w:rPr>
          <w:lang w:eastAsia="zh-CN"/>
        </w:rPr>
        <w:t>§ 11 Ansprechpartner*in</w:t>
      </w:r>
      <w:bookmarkEnd w:id="12"/>
    </w:p>
    <w:p>
      <w:pPr>
        <w:rPr>
          <w:rFonts w:eastAsia="Arial" w:cstheme="majorHAnsi"/>
        </w:rPr>
      </w:pPr>
      <w:r>
        <w:rPr>
          <w:rFonts w:eastAsia="Arial" w:cstheme="majorHAnsi"/>
        </w:rPr>
        <w:t>Die Auftraggeberin und der/die Auftragnehmer*in benennen unverzüglich nach Abschluss des Vertrages jeweils eine fachkundige Person (einschließlich deren Kontaktdaten), die dem anderen Partner als Ansprechpartner*in zur Verfügung steht und befugt ist, erforderliche Entscheidungen zu treffen oder diese unverzüglich herbeizuführen. Dieser/diese Ansprechpartner*in kann mit der unter § 10 benannten Person identisch sein.</w:t>
      </w:r>
    </w:p>
    <w:p>
      <w:pPr>
        <w:rPr>
          <w:rFonts w:eastAsia="Arial" w:cstheme="majorHAnsi"/>
        </w:rPr>
      </w:pPr>
    </w:p>
    <w:p>
      <w:pPr>
        <w:pStyle w:val="berschrift1"/>
      </w:pPr>
      <w:bookmarkStart w:id="13" w:name="_Toc222816169"/>
      <w:r>
        <w:t>§ 12 Haftung</w:t>
      </w:r>
      <w:bookmarkEnd w:id="13"/>
    </w:p>
    <w:p>
      <w:pPr>
        <w:pStyle w:val="Listenabsatz"/>
        <w:numPr>
          <w:ilvl w:val="0"/>
          <w:numId w:val="35"/>
        </w:numPr>
        <w:ind w:left="329" w:hanging="357"/>
        <w:contextualSpacing w:val="0"/>
      </w:pPr>
      <w:r>
        <w:t>Der/die Auftragnehmer*in haftet bei sorgfaltspflichtwidrigem Verhalten für den entstandenen Schaden. Dies gilt insbesondere für Fälle in denen die Auftraggeberin durch das Verschulden des/der Auftragnehmer*in gesetzliche Fristen versäumt und die entsprechenden rechtlichen Konsequenzen mehr als nur geringfügigen Schaden zufügen.</w:t>
      </w:r>
    </w:p>
    <w:p>
      <w:pPr>
        <w:pStyle w:val="Listenabsatz"/>
        <w:numPr>
          <w:ilvl w:val="0"/>
          <w:numId w:val="35"/>
        </w:numPr>
        <w:ind w:left="329" w:hanging="357"/>
        <w:contextualSpacing w:val="0"/>
      </w:pPr>
      <w:r>
        <w:t>Der/die Auftragnehmer*in haftet unbegrenzt für Schäden aus der Verletzung des Lebens, Körpers oder der Gesundheit, die aufgrund von Fahrlässigkeit des Auftragnehmers oder einer vorsätzlichen oder fahrlässigen Pflichtverletzung eines Nachunternehmers oder Erfüllungsgehilfen entstehen.</w:t>
      </w:r>
    </w:p>
    <w:p>
      <w:pPr>
        <w:pStyle w:val="Listenabsatz"/>
        <w:numPr>
          <w:ilvl w:val="0"/>
          <w:numId w:val="35"/>
        </w:numPr>
        <w:ind w:left="329" w:hanging="357"/>
        <w:contextualSpacing w:val="0"/>
      </w:pPr>
      <w:r>
        <w:lastRenderedPageBreak/>
        <w:t>Die Auftraggeberin haftet nicht für Schäden aller Art, die dem/der Auftragnehmer*in oder dessen Personal im Zusammenhang mit diesem Vertragsverhältnis entstehen. Der/die Auftragnehmer*in ist diesbezüglich zur Haftungsfreistellung verpflichtet.</w:t>
      </w:r>
    </w:p>
    <w:p>
      <w:pPr>
        <w:pStyle w:val="Listenabsatz"/>
        <w:numPr>
          <w:ilvl w:val="0"/>
          <w:numId w:val="35"/>
        </w:numPr>
        <w:ind w:left="329" w:hanging="357"/>
      </w:pPr>
      <w:r>
        <w:t>Der Haftungsausschluss der Auftraggeberin gilt nicht für Vorsatz und grobe Fahrlässigkeit.</w:t>
      </w:r>
    </w:p>
    <w:p/>
    <w:p>
      <w:pPr>
        <w:pStyle w:val="berschrift1"/>
      </w:pPr>
      <w:bookmarkStart w:id="14" w:name="_Toc222816170"/>
      <w:r>
        <w:t>§ 13 Gefahrenübergang</w:t>
      </w:r>
      <w:bookmarkEnd w:id="14"/>
    </w:p>
    <w:p>
      <w:r>
        <w:t>Die Gefahr geht mit Übernahme des Transportguts durch den/die Auftragnehmer*in auf diesen über.</w:t>
      </w:r>
    </w:p>
    <w:p/>
    <w:p>
      <w:pPr>
        <w:pStyle w:val="berschrift1"/>
      </w:pPr>
      <w:bookmarkStart w:id="15" w:name="_Toc222816171"/>
      <w:r>
        <w:t>§ 14 Laufzeit des Vertrages</w:t>
      </w:r>
      <w:bookmarkEnd w:id="15"/>
    </w:p>
    <w:p>
      <w:pPr>
        <w:pStyle w:val="Listenabsatz"/>
        <w:numPr>
          <w:ilvl w:val="0"/>
          <w:numId w:val="4"/>
        </w:numPr>
        <w:ind w:left="284" w:hanging="284"/>
        <w:contextualSpacing w:val="0"/>
        <w:rPr>
          <w:rFonts w:cstheme="majorHAnsi"/>
        </w:rPr>
      </w:pPr>
      <w:r>
        <w:rPr>
          <w:rFonts w:cstheme="majorHAnsi"/>
        </w:rPr>
        <w:t>Der Vertrag wird zunächst für die Zeit vom 01.11.2026 bis 31.10.2027 geschlossen. Die Mindestlaufzeit beträgt somit zwölf Monate.</w:t>
      </w:r>
    </w:p>
    <w:p>
      <w:pPr>
        <w:pStyle w:val="Listenabsatz"/>
        <w:numPr>
          <w:ilvl w:val="0"/>
          <w:numId w:val="4"/>
        </w:numPr>
        <w:ind w:left="284" w:hanging="284"/>
        <w:contextualSpacing w:val="0"/>
        <w:rPr>
          <w:rFonts w:cstheme="majorHAnsi"/>
        </w:rPr>
      </w:pPr>
      <w:r>
        <w:rPr>
          <w:rFonts w:cstheme="majorHAnsi"/>
        </w:rPr>
        <w:t>Danach verlängert sich der Vertrag automatisch maximal dreimal um jeweils zwei Monate, sofern der Auftraggeber diesen nicht einen Monat (Eingang Auftragnehmer) vor Ablauf des jeweiligen Vertragsendes schriftlich kündigt.</w:t>
      </w:r>
    </w:p>
    <w:p>
      <w:pPr>
        <w:pStyle w:val="Listenabsatz"/>
        <w:numPr>
          <w:ilvl w:val="0"/>
          <w:numId w:val="4"/>
        </w:numPr>
        <w:ind w:left="284" w:hanging="284"/>
        <w:contextualSpacing w:val="0"/>
        <w:rPr>
          <w:rFonts w:cstheme="majorHAnsi"/>
        </w:rPr>
      </w:pPr>
      <w:r>
        <w:rPr>
          <w:rFonts w:cs="Arial"/>
        </w:rPr>
        <w:t>Der Vertrag endet spätestens zum 30.04.2028, ohne dass es einer Kündigung bedarf.</w:t>
      </w:r>
    </w:p>
    <w:p>
      <w:pPr>
        <w:pStyle w:val="Listenabsatz"/>
        <w:numPr>
          <w:ilvl w:val="0"/>
          <w:numId w:val="4"/>
        </w:numPr>
        <w:ind w:left="284" w:hanging="284"/>
        <w:contextualSpacing w:val="0"/>
        <w:rPr>
          <w:rFonts w:cs="Arial"/>
        </w:rPr>
      </w:pPr>
      <w:r>
        <w:rPr>
          <w:rFonts w:cs="Arial"/>
        </w:rPr>
        <w:t>Es wird eine dreimonatige Probezeit ab Vertragsbeginn vereinbart. In dieser Probezeit kann die Auftraggeberin den Vertrag im Falle unzureichender Leistungserbringung mit einer Frist von einem Monat zum Monatsende nach einem zuvor erfolgten Beschwerdegespräch kündigen.</w:t>
      </w:r>
    </w:p>
    <w:p>
      <w:pPr>
        <w:pStyle w:val="Listenabsatz"/>
        <w:numPr>
          <w:ilvl w:val="0"/>
          <w:numId w:val="4"/>
        </w:numPr>
        <w:ind w:left="284" w:hanging="284"/>
        <w:contextualSpacing w:val="0"/>
        <w:rPr>
          <w:rFonts w:cs="Arial"/>
        </w:rPr>
      </w:pPr>
      <w:r>
        <w:rPr>
          <w:rFonts w:cstheme="majorHAnsi"/>
        </w:rPr>
        <w:t>Der Vertrag endet jedoch vor Erreichen der oben aufgeführten Laufzeit vorzeitig, sobald die in den Ausschreibungsunterlagen angegebene Maximalmenge der dort aufgeführten Leistung erreicht ist.</w:t>
      </w:r>
    </w:p>
    <w:p>
      <w:pPr>
        <w:pStyle w:val="berschrift1"/>
        <w:rPr>
          <w:lang w:eastAsia="zh-CN"/>
        </w:rPr>
      </w:pPr>
    </w:p>
    <w:p>
      <w:pPr>
        <w:pStyle w:val="berschrift1"/>
        <w:rPr>
          <w:lang w:eastAsia="zh-CN"/>
        </w:rPr>
      </w:pPr>
      <w:bookmarkStart w:id="16" w:name="_Toc222816172"/>
      <w:r>
        <w:rPr>
          <w:lang w:eastAsia="zh-CN"/>
        </w:rPr>
        <w:t>§ 15 Recht zur Kündigung</w:t>
      </w:r>
      <w:bookmarkEnd w:id="16"/>
    </w:p>
    <w:p>
      <w:pPr>
        <w:pStyle w:val="Listenabsatz"/>
        <w:numPr>
          <w:ilvl w:val="0"/>
          <w:numId w:val="6"/>
        </w:numPr>
        <w:ind w:left="284" w:hanging="284"/>
        <w:contextualSpacing w:val="0"/>
        <w:rPr>
          <w:rFonts w:cstheme="majorHAnsi"/>
          <w:lang w:eastAsia="zh-CN"/>
        </w:rPr>
      </w:pPr>
      <w:r>
        <w:rPr>
          <w:rFonts w:cstheme="majorHAnsi"/>
          <w:lang w:eastAsia="zh-CN"/>
        </w:rPr>
        <w:t>Die ordentliche Kündigung dieses Vertrages ist für beide Parteien ausgeschlossen.</w:t>
      </w:r>
    </w:p>
    <w:p>
      <w:pPr>
        <w:pStyle w:val="Listenabsatz"/>
        <w:numPr>
          <w:ilvl w:val="0"/>
          <w:numId w:val="6"/>
        </w:numPr>
        <w:ind w:left="284" w:right="88" w:hanging="284"/>
        <w:contextualSpacing w:val="0"/>
        <w:rPr>
          <w:rFonts w:cstheme="majorHAnsi"/>
        </w:rPr>
      </w:pPr>
      <w:r>
        <w:rPr>
          <w:rFonts w:eastAsia="Arial" w:cstheme="majorHAnsi"/>
        </w:rPr>
        <w:t xml:space="preserve">Das Recht zur Kündigung aus wichtigem Grund bleibt unberührt. </w:t>
      </w:r>
    </w:p>
    <w:p>
      <w:pPr>
        <w:pStyle w:val="Listenabsatz"/>
        <w:numPr>
          <w:ilvl w:val="0"/>
          <w:numId w:val="6"/>
        </w:numPr>
        <w:ind w:left="284" w:right="88" w:hanging="284"/>
        <w:contextualSpacing w:val="0"/>
        <w:rPr>
          <w:rFonts w:cstheme="majorHAnsi"/>
        </w:rPr>
      </w:pPr>
      <w:r>
        <w:rPr>
          <w:rFonts w:eastAsia="Arial" w:cstheme="majorHAnsi"/>
        </w:rPr>
        <w:t xml:space="preserve">Ein wichtiger Grund, der die Auftraggeberin zur fristlosen Kündigung berechtigt, liegt insbesondere vor, wenn </w:t>
      </w:r>
    </w:p>
    <w:p>
      <w:pPr>
        <w:pStyle w:val="Listenabsatz"/>
        <w:numPr>
          <w:ilvl w:val="0"/>
          <w:numId w:val="8"/>
        </w:numPr>
        <w:ind w:left="709" w:right="45" w:hanging="425"/>
        <w:contextualSpacing w:val="0"/>
        <w:rPr>
          <w:rFonts w:cstheme="majorHAnsi"/>
        </w:rPr>
      </w:pPr>
      <w:r>
        <w:rPr>
          <w:rFonts w:eastAsia="Arial" w:cstheme="majorHAnsi"/>
        </w:rPr>
        <w:t>der Auftraggeberin Umstände bekannt werden, die sie dazu berechtigt hätten, den/die Auftragnehmer*in aus dem Vergabeverfahren, das zum Abschluss des vorliegenden Vertrages durchgeführt wurde, auszuschließen, unabhängig davon, wann diese Umstände eingetreten sind,</w:t>
      </w:r>
    </w:p>
    <w:p>
      <w:pPr>
        <w:pStyle w:val="Listenabsatz"/>
        <w:widowControl w:val="0"/>
        <w:numPr>
          <w:ilvl w:val="0"/>
          <w:numId w:val="8"/>
        </w:numPr>
        <w:tabs>
          <w:tab w:val="left" w:pos="1221"/>
        </w:tabs>
        <w:autoSpaceDE w:val="0"/>
        <w:autoSpaceDN w:val="0"/>
        <w:ind w:left="709" w:right="272" w:hanging="425"/>
        <w:contextualSpacing w:val="0"/>
        <w:rPr>
          <w:rFonts w:cstheme="majorHAnsi"/>
        </w:rPr>
      </w:pPr>
      <w:r>
        <w:rPr>
          <w:rFonts w:cstheme="majorHAnsi"/>
        </w:rPr>
        <w:t>an dem Vertrag eine wesentliche Änderung vorgenommen wurde, die ein neues Vergabeverfahren nach den geltenden gesetzlichen Bestimmungen erforderlich gemacht</w:t>
      </w:r>
      <w:r>
        <w:rPr>
          <w:rFonts w:cstheme="majorHAnsi"/>
          <w:spacing w:val="-4"/>
        </w:rPr>
        <w:t xml:space="preserve"> </w:t>
      </w:r>
      <w:r>
        <w:rPr>
          <w:rFonts w:cstheme="majorHAnsi"/>
        </w:rPr>
        <w:t>hätte,</w:t>
      </w:r>
    </w:p>
    <w:p>
      <w:pPr>
        <w:pStyle w:val="Listenabsatz"/>
        <w:widowControl w:val="0"/>
        <w:numPr>
          <w:ilvl w:val="0"/>
          <w:numId w:val="8"/>
        </w:numPr>
        <w:tabs>
          <w:tab w:val="left" w:pos="1221"/>
        </w:tabs>
        <w:autoSpaceDE w:val="0"/>
        <w:autoSpaceDN w:val="0"/>
        <w:ind w:left="709" w:right="45" w:hanging="425"/>
        <w:contextualSpacing w:val="0"/>
        <w:rPr>
          <w:rFonts w:cstheme="majorHAnsi"/>
        </w:rPr>
      </w:pPr>
      <w:r>
        <w:rPr>
          <w:rFonts w:cstheme="majorHAnsi"/>
        </w:rPr>
        <w:t>der Vertrag auf Grund eines rechtskräftig festgestellten schweren Verstoßes gegen den Vertrag über die Arbeitsweise der Europäischen Union oder das Vergaberecht nicht an den Auftragnehmer hätte vergeben werden dürfen,</w:t>
      </w:r>
    </w:p>
    <w:p>
      <w:pPr>
        <w:pStyle w:val="Listenabsatz"/>
        <w:numPr>
          <w:ilvl w:val="0"/>
          <w:numId w:val="8"/>
        </w:numPr>
        <w:ind w:left="709" w:hanging="425"/>
        <w:contextualSpacing w:val="0"/>
        <w:rPr>
          <w:rFonts w:cstheme="majorHAnsi"/>
          <w:lang w:eastAsia="zh-CN"/>
        </w:rPr>
      </w:pPr>
      <w:r>
        <w:rPr>
          <w:rFonts w:eastAsia="Arial" w:cstheme="majorHAnsi"/>
        </w:rPr>
        <w:t>der/die Auftragnehmer*in wiederholt gegen wesentliche Pflichten dieses Vertrages verstoßen hat.</w:t>
      </w:r>
    </w:p>
    <w:p>
      <w:pPr>
        <w:pStyle w:val="Listenabsatz"/>
        <w:numPr>
          <w:ilvl w:val="0"/>
          <w:numId w:val="8"/>
        </w:numPr>
        <w:ind w:left="709" w:hanging="425"/>
        <w:contextualSpacing w:val="0"/>
        <w:rPr>
          <w:rFonts w:cstheme="majorHAnsi"/>
          <w:lang w:eastAsia="zh-CN"/>
        </w:rPr>
      </w:pPr>
      <w:r>
        <w:rPr>
          <w:rFonts w:cstheme="majorHAnsi"/>
        </w:rPr>
        <w:lastRenderedPageBreak/>
        <w:t>wenn der/die Auftragnehmer*in Personen, die auf Seiten der Auftraggeberin mit der Vorbereitung, dem Abschluss oder der Durchführung des Vertrages befasst sind oder waren, Vorteile anbietet, verspricht oder gewährt. Dies gilt auch dann, wenn die Vorteile im Interesse der genannten Personen, ihnen nahestehenden Personen oder im Interesse der einen oder anderen einem Dritten angeboten, versprochen oder gewährt werden. Handlungen des/der Auftragnehmer*in stehen Handlungen derjenigen Personen gleich, die von ihm/ihr mit der Vorbereitung, dem Abschluss oder der Durchführung des Vertrages betraut sind oder mit seiner Kenntnis in dieser Weise tätig werden.</w:t>
      </w:r>
    </w:p>
    <w:p>
      <w:pPr>
        <w:suppressAutoHyphens/>
        <w:autoSpaceDE w:val="0"/>
        <w:ind w:left="709"/>
        <w:rPr>
          <w:rFonts w:cstheme="majorHAnsi"/>
        </w:rPr>
      </w:pPr>
      <w:r>
        <w:rPr>
          <w:rFonts w:cstheme="majorHAnsi"/>
        </w:rPr>
        <w:t>Was unter Vorteilen im vorgenannten Sinne zu verstehen ist, richtet sich nach § 12 UWG und §§ 331 ff. StGB. Dazu gehört auch die Gewährung von Darlehen. Nicht als Vorteile im Sinne des Abs. 1 gelten die der Geschäftswerbung dienenden Gegenstände oder Leistungen, wie sie im redlichen Geschäftsverkehr nach einheitlichen Gesichtspunkten (z.B. anlässlich des Neujahrstages) von dem/der Auftragnehmer*in seinen/ihren Kunden gewährt werden, insbesondere Reklamegegenstände von geringem Wert, die als solche mit der Firma des/der Auftragnehmer*in dauerhaft und deutlich sichtbar gekennzeichnet sind. Im Falle von a) kann die Auftraggeberin ferner vom Vertrage zurücktreten. Sie ist dann berechtigt, aber nicht verpflichtet, die empfangenen Leistungen zurückzugeben. Behält sie diese, so hat sie ihren Wert zu vergüten; gibt sie sie zurück, so muss auch der/die Auftragnehmer*in die empfangenen Leistungen zurückgeben. In jedem Falle ist der/die Auftragnehmer*in verpflichtet, der Auftraggeberin den Schaden zu ersetzen, der ihm durch den Rücktritt vom Vertrage entsteht. Dagegen stehen dem/der Auftragnehmer*in gegen die Auftraggeberin auf Grund des Rücktritts keine Ansprüche wegen Nichterfüllung des Vertrages zu. Im Übrigen gelten die gesetzlichen Vorschriften über den Rücktritt.</w:t>
      </w:r>
    </w:p>
    <w:p>
      <w:pPr>
        <w:pStyle w:val="Listenabsatz"/>
        <w:numPr>
          <w:ilvl w:val="0"/>
          <w:numId w:val="8"/>
        </w:numPr>
        <w:ind w:left="709" w:hanging="425"/>
        <w:contextualSpacing w:val="0"/>
        <w:rPr>
          <w:rFonts w:cstheme="majorHAnsi"/>
          <w:lang w:eastAsia="zh-CN"/>
        </w:rPr>
      </w:pPr>
      <w:r>
        <w:rPr>
          <w:rFonts w:cstheme="majorHAnsi"/>
          <w:lang w:eastAsia="zh-CN"/>
        </w:rPr>
        <w:t>Die fristlose Kündigung ist schriftlich zu erklären.</w:t>
      </w:r>
    </w:p>
    <w:p>
      <w:pPr>
        <w:rPr>
          <w:rFonts w:cstheme="majorHAnsi"/>
          <w:lang w:eastAsia="zh-CN"/>
        </w:rPr>
      </w:pPr>
    </w:p>
    <w:p>
      <w:pPr>
        <w:pStyle w:val="berschrift1"/>
        <w:rPr>
          <w:lang w:eastAsia="zh-CN"/>
        </w:rPr>
      </w:pPr>
      <w:bookmarkStart w:id="17" w:name="_Toc222816173"/>
      <w:r>
        <w:rPr>
          <w:lang w:eastAsia="zh-CN"/>
        </w:rPr>
        <w:t>§ 16 Rechtsfolgen der Kündigung</w:t>
      </w:r>
      <w:bookmarkEnd w:id="17"/>
    </w:p>
    <w:p>
      <w:pPr>
        <w:pStyle w:val="Listenabsatz"/>
        <w:numPr>
          <w:ilvl w:val="0"/>
          <w:numId w:val="27"/>
        </w:numPr>
        <w:ind w:left="284" w:hanging="284"/>
        <w:contextualSpacing w:val="0"/>
        <w:rPr>
          <w:rFonts w:cstheme="majorHAnsi"/>
          <w:lang w:eastAsia="zh-CN"/>
        </w:rPr>
      </w:pPr>
      <w:r>
        <w:rPr>
          <w:rFonts w:cstheme="majorHAnsi"/>
          <w:lang w:eastAsia="zh-CN"/>
        </w:rPr>
        <w:t>Nach erfolgter fristloser Kündigung durch die Auftraggeberin, ist diese berechtigt, aber nicht verpflichtet, die empfangenen Leistungen zurückzugeben.</w:t>
      </w:r>
    </w:p>
    <w:p>
      <w:pPr>
        <w:pStyle w:val="Listenabsatz"/>
        <w:numPr>
          <w:ilvl w:val="0"/>
          <w:numId w:val="27"/>
        </w:numPr>
        <w:ind w:left="284" w:hanging="284"/>
        <w:contextualSpacing w:val="0"/>
        <w:rPr>
          <w:rFonts w:cstheme="majorHAnsi"/>
          <w:lang w:eastAsia="zh-CN"/>
        </w:rPr>
      </w:pPr>
      <w:r>
        <w:rPr>
          <w:rFonts w:cstheme="majorHAnsi"/>
          <w:lang w:eastAsia="zh-CN"/>
        </w:rPr>
        <w:t>Andernfalls werden die gegenseitigen Leistungen nach den gesetzlichen Vorschriften rückabgewickelt.</w:t>
      </w:r>
    </w:p>
    <w:p>
      <w:pPr>
        <w:pStyle w:val="Listenabsatz"/>
        <w:numPr>
          <w:ilvl w:val="0"/>
          <w:numId w:val="27"/>
        </w:numPr>
        <w:ind w:left="284" w:hanging="284"/>
        <w:contextualSpacing w:val="0"/>
        <w:rPr>
          <w:rFonts w:cstheme="majorHAnsi"/>
          <w:lang w:eastAsia="zh-CN"/>
        </w:rPr>
      </w:pPr>
      <w:r>
        <w:rPr>
          <w:rFonts w:cstheme="majorHAnsi"/>
          <w:lang w:eastAsia="zh-CN"/>
        </w:rPr>
        <w:t>Weitergehende gesetzliche oder vertragliche Ansprüche bleiben unberührt.</w:t>
      </w:r>
    </w:p>
    <w:p>
      <w:pPr>
        <w:rPr>
          <w:rFonts w:cstheme="majorHAnsi"/>
          <w:lang w:eastAsia="zh-CN"/>
        </w:rPr>
      </w:pPr>
    </w:p>
    <w:p>
      <w:pPr>
        <w:pStyle w:val="berschrift1"/>
        <w:rPr>
          <w:lang w:eastAsia="zh-CN"/>
        </w:rPr>
      </w:pPr>
      <w:bookmarkStart w:id="18" w:name="_Toc222816174"/>
      <w:r>
        <w:rPr>
          <w:lang w:eastAsia="zh-CN"/>
        </w:rPr>
        <w:t>§ 17 Vertraulichkeits- und Geheimhaltungsvereinbarung</w:t>
      </w:r>
      <w:bookmarkEnd w:id="18"/>
    </w:p>
    <w:p>
      <w:pPr>
        <w:pStyle w:val="Listenabsatz"/>
        <w:numPr>
          <w:ilvl w:val="0"/>
          <w:numId w:val="18"/>
        </w:numPr>
        <w:ind w:left="284" w:hanging="284"/>
        <w:contextualSpacing w:val="0"/>
        <w:rPr>
          <w:rFonts w:cstheme="majorHAnsi"/>
          <w:lang w:eastAsia="zh-CN"/>
        </w:rPr>
      </w:pPr>
      <w:r>
        <w:rPr>
          <w:rFonts w:eastAsia="Arial" w:cstheme="majorHAnsi"/>
        </w:rPr>
        <w:t xml:space="preserve">Alle Unterlagen, die den Bietern im Zusammenhang mit dem Vergabeverfahren oder der Vertragsdurchführung überlassen werden, dürfen ohne Zustimmung der Auftraggeberin nicht für andere Zwecke verwendet, vervielfältigt oder Dritten zugänglich gemacht werden.  </w:t>
      </w:r>
    </w:p>
    <w:p>
      <w:pPr>
        <w:pStyle w:val="Listenabsatz"/>
        <w:numPr>
          <w:ilvl w:val="0"/>
          <w:numId w:val="18"/>
        </w:numPr>
        <w:ind w:left="284" w:hanging="284"/>
        <w:contextualSpacing w:val="0"/>
        <w:rPr>
          <w:rFonts w:cstheme="majorHAnsi"/>
          <w:lang w:eastAsia="zh-CN"/>
        </w:rPr>
      </w:pPr>
      <w:r>
        <w:rPr>
          <w:rFonts w:eastAsia="Arial" w:cstheme="majorHAnsi"/>
        </w:rPr>
        <w:t>Das von dem/der Auftragnehmer*</w:t>
      </w:r>
      <w:proofErr w:type="gramStart"/>
      <w:r>
        <w:rPr>
          <w:rFonts w:eastAsia="Arial" w:cstheme="majorHAnsi"/>
        </w:rPr>
        <w:t>in beschäftigte Personal</w:t>
      </w:r>
      <w:proofErr w:type="gramEnd"/>
      <w:r>
        <w:rPr>
          <w:rFonts w:eastAsia="Arial" w:cstheme="majorHAnsi"/>
        </w:rPr>
        <w:t xml:space="preserve"> ist zur entsprechenden Geheimhaltung zu verpflichten. Dies gilt auch für alle vom/</w:t>
      </w:r>
      <w:proofErr w:type="gramStart"/>
      <w:r>
        <w:rPr>
          <w:rFonts w:eastAsia="Arial" w:cstheme="majorHAnsi"/>
        </w:rPr>
        <w:t>von der Auftragnehmer</w:t>
      </w:r>
      <w:proofErr w:type="gramEnd"/>
      <w:r>
        <w:rPr>
          <w:rFonts w:eastAsia="Arial" w:cstheme="majorHAnsi"/>
        </w:rPr>
        <w:t>*in im Zusammenhang mit diesem Projekt beauftragten Unternehmen.</w:t>
      </w:r>
    </w:p>
    <w:p>
      <w:pPr>
        <w:pStyle w:val="Listenabsatz"/>
        <w:numPr>
          <w:ilvl w:val="0"/>
          <w:numId w:val="18"/>
        </w:numPr>
        <w:ind w:left="284" w:hanging="284"/>
        <w:contextualSpacing w:val="0"/>
        <w:rPr>
          <w:rFonts w:cstheme="majorHAnsi"/>
          <w:lang w:eastAsia="zh-CN"/>
        </w:rPr>
      </w:pPr>
      <w:r>
        <w:rPr>
          <w:rFonts w:cstheme="majorHAnsi"/>
          <w:lang w:eastAsia="zh-CN"/>
        </w:rPr>
        <w:t xml:space="preserve">Der/die Auftragnehmer*in versichert, dass er im Fall der Verarbeitung personenbezogener Daten die Bestimmungen der Datenschutzgrundverordnung (DSGVO) in der jeweils gültigen Fassung beachtet und umsetzt. </w:t>
      </w:r>
    </w:p>
    <w:p>
      <w:pPr>
        <w:pStyle w:val="Listenabsatz"/>
        <w:numPr>
          <w:ilvl w:val="0"/>
          <w:numId w:val="18"/>
        </w:numPr>
        <w:ind w:left="284" w:hanging="284"/>
        <w:contextualSpacing w:val="0"/>
        <w:rPr>
          <w:rFonts w:cstheme="majorHAnsi"/>
          <w:lang w:eastAsia="zh-CN"/>
        </w:rPr>
      </w:pPr>
      <w:r>
        <w:rPr>
          <w:rFonts w:cstheme="majorHAnsi"/>
          <w:lang w:eastAsia="zh-CN"/>
        </w:rPr>
        <w:t>Das vom/</w:t>
      </w:r>
      <w:proofErr w:type="gramStart"/>
      <w:r>
        <w:rPr>
          <w:rFonts w:cstheme="majorHAnsi"/>
          <w:lang w:eastAsia="zh-CN"/>
        </w:rPr>
        <w:t>von der Auftragnehmer</w:t>
      </w:r>
      <w:proofErr w:type="gramEnd"/>
      <w:r>
        <w:rPr>
          <w:rFonts w:cstheme="majorHAnsi"/>
          <w:lang w:eastAsia="zh-CN"/>
        </w:rPr>
        <w:t xml:space="preserve">*in eingesetzte Personal ist verpflichtet, </w:t>
      </w:r>
    </w:p>
    <w:p>
      <w:pPr>
        <w:pStyle w:val="Listenabsatz"/>
        <w:numPr>
          <w:ilvl w:val="0"/>
          <w:numId w:val="1"/>
        </w:numPr>
        <w:contextualSpacing w:val="0"/>
        <w:rPr>
          <w:rFonts w:cstheme="majorHAnsi"/>
          <w:lang w:eastAsia="zh-CN"/>
        </w:rPr>
      </w:pPr>
      <w:r>
        <w:rPr>
          <w:rFonts w:cstheme="majorHAnsi"/>
          <w:lang w:eastAsia="zh-CN"/>
        </w:rPr>
        <w:lastRenderedPageBreak/>
        <w:t>das Post- und Briefgeheimnis zu wahren,</w:t>
      </w:r>
    </w:p>
    <w:p>
      <w:pPr>
        <w:pStyle w:val="Listenabsatz"/>
        <w:numPr>
          <w:ilvl w:val="0"/>
          <w:numId w:val="1"/>
        </w:numPr>
        <w:contextualSpacing w:val="0"/>
        <w:rPr>
          <w:rFonts w:cstheme="majorHAnsi"/>
          <w:lang w:eastAsia="zh-CN"/>
        </w:rPr>
      </w:pPr>
      <w:r>
        <w:t>die geltenden Datenschutzbestimmungen einzuhalten,</w:t>
      </w:r>
    </w:p>
    <w:p>
      <w:pPr>
        <w:numPr>
          <w:ilvl w:val="0"/>
          <w:numId w:val="1"/>
        </w:numPr>
        <w:spacing w:before="0"/>
        <w:ind w:left="714" w:hanging="357"/>
      </w:pPr>
      <w:r>
        <w:t>insbesondere Vorgänge, Daten und Prozesse nur insoweit zu betrachten wie notwendig und Dritten nicht zugänglich zu machen,</w:t>
      </w:r>
    </w:p>
    <w:p>
      <w:pPr>
        <w:numPr>
          <w:ilvl w:val="0"/>
          <w:numId w:val="1"/>
        </w:numPr>
        <w:spacing w:before="0"/>
        <w:ind w:left="714" w:hanging="357"/>
      </w:pPr>
      <w:r>
        <w:t>über erlangtes Wissen, insbesondere Dienstgeheimnisse, Datenschutz und Post- und Briefgeheimnis – auch nach Ende der Vertragslaufzeit – generell Verschwiegenheit zu bewahren.</w:t>
      </w:r>
    </w:p>
    <w:p>
      <w:pPr>
        <w:rPr>
          <w:rFonts w:cs="Arial"/>
        </w:rPr>
      </w:pPr>
      <w:r>
        <w:rPr>
          <w:rFonts w:cs="Arial"/>
        </w:rPr>
        <w:t>Sollte es der Auftragsgegenstand erfordern, werden darüber hinaus Vereinbarungen über Auftragsdatenverarbeitung gem. DSGVO und LDSG, für das eingesetzte Personal Verpflichtungserklärungen oder sonstige für den Datenschutz relevante Vereinbarungen geschlossen.</w:t>
      </w:r>
    </w:p>
    <w:p>
      <w:pPr>
        <w:pStyle w:val="berschrift1"/>
        <w:rPr>
          <w:lang w:eastAsia="zh-CN"/>
        </w:rPr>
      </w:pPr>
    </w:p>
    <w:p>
      <w:pPr>
        <w:pStyle w:val="berschrift1"/>
        <w:rPr>
          <w:lang w:eastAsia="zh-CN"/>
        </w:rPr>
      </w:pPr>
      <w:bookmarkStart w:id="19" w:name="_Toc222816175"/>
      <w:r>
        <w:rPr>
          <w:lang w:eastAsia="zh-CN"/>
        </w:rPr>
        <w:t>§ 18 Formerfordernis für Änderungen und Ergänzungen</w:t>
      </w:r>
      <w:bookmarkEnd w:id="19"/>
      <w:r>
        <w:rPr>
          <w:lang w:eastAsia="zh-CN"/>
        </w:rPr>
        <w:t xml:space="preserve"> </w:t>
      </w:r>
    </w:p>
    <w:p>
      <w:pPr>
        <w:rPr>
          <w:rFonts w:cstheme="majorHAnsi"/>
          <w:lang w:eastAsia="zh-CN"/>
        </w:rPr>
      </w:pPr>
      <w:r>
        <w:rPr>
          <w:rFonts w:eastAsia="Arial" w:cstheme="majorHAnsi"/>
        </w:rPr>
        <w:t>Mündliche Nebenabreden bestehen nicht. Änderungen und Ergänzungen dieses Vertrages bedürfen zu ihrer Wirksamkeit der Schriftform. Das gilt auch für die Aufhebung des Schriftformerfordernisses selbst.</w:t>
      </w:r>
    </w:p>
    <w:p>
      <w:pPr>
        <w:rPr>
          <w:rFonts w:cstheme="majorHAnsi"/>
          <w:lang w:eastAsia="zh-CN"/>
        </w:rPr>
      </w:pPr>
    </w:p>
    <w:p>
      <w:pPr>
        <w:pStyle w:val="berschrift1"/>
        <w:rPr>
          <w:lang w:eastAsia="zh-CN"/>
        </w:rPr>
      </w:pPr>
      <w:bookmarkStart w:id="20" w:name="_Toc222816176"/>
      <w:r>
        <w:rPr>
          <w:lang w:eastAsia="zh-CN"/>
        </w:rPr>
        <w:t>§ 19 Vertragssprache</w:t>
      </w:r>
      <w:bookmarkEnd w:id="20"/>
      <w:r>
        <w:rPr>
          <w:lang w:eastAsia="zh-CN"/>
        </w:rPr>
        <w:t xml:space="preserve"> </w:t>
      </w:r>
    </w:p>
    <w:p>
      <w:pPr>
        <w:rPr>
          <w:rFonts w:eastAsia="Arial" w:cstheme="majorHAnsi"/>
        </w:rPr>
      </w:pPr>
      <w:r>
        <w:rPr>
          <w:rFonts w:eastAsia="Arial" w:cstheme="majorHAnsi"/>
        </w:rPr>
        <w:t>Vertragssprache sowie Sprache zur Kommunikation ist Deutsch.</w:t>
      </w:r>
    </w:p>
    <w:p>
      <w:pPr>
        <w:rPr>
          <w:rFonts w:cstheme="majorHAnsi"/>
          <w:lang w:eastAsia="zh-CN"/>
        </w:rPr>
      </w:pPr>
    </w:p>
    <w:p>
      <w:pPr>
        <w:pStyle w:val="berschrift1"/>
        <w:rPr>
          <w:lang w:eastAsia="zh-CN"/>
        </w:rPr>
      </w:pPr>
      <w:bookmarkStart w:id="21" w:name="_Toc222816177"/>
      <w:r>
        <w:rPr>
          <w:lang w:eastAsia="zh-CN"/>
        </w:rPr>
        <w:t>§ 20 Anwendbares Recht und Gerichtsstand</w:t>
      </w:r>
      <w:bookmarkEnd w:id="21"/>
      <w:r>
        <w:rPr>
          <w:lang w:eastAsia="zh-CN"/>
        </w:rPr>
        <w:t xml:space="preserve"> </w:t>
      </w:r>
    </w:p>
    <w:p>
      <w:pPr>
        <w:rPr>
          <w:rFonts w:eastAsia="Arial" w:cstheme="majorHAnsi"/>
        </w:rPr>
      </w:pPr>
      <w:r>
        <w:rPr>
          <w:rFonts w:eastAsia="Arial" w:cstheme="majorHAnsi"/>
        </w:rPr>
        <w:t xml:space="preserve">Es gilt </w:t>
      </w:r>
      <w:proofErr w:type="gramStart"/>
      <w:r>
        <w:rPr>
          <w:rFonts w:eastAsia="Arial" w:cstheme="majorHAnsi"/>
        </w:rPr>
        <w:t>ausschließlich das Recht</w:t>
      </w:r>
      <w:proofErr w:type="gramEnd"/>
      <w:r>
        <w:rPr>
          <w:rFonts w:eastAsia="Arial" w:cstheme="majorHAnsi"/>
        </w:rPr>
        <w:t xml:space="preserve"> der Bundesrepublik Deutschland. </w:t>
      </w:r>
    </w:p>
    <w:p>
      <w:pPr>
        <w:rPr>
          <w:rFonts w:cstheme="majorHAnsi"/>
          <w:lang w:eastAsia="zh-CN"/>
        </w:rPr>
      </w:pPr>
      <w:r>
        <w:rPr>
          <w:rFonts w:eastAsia="Arial" w:cstheme="majorHAnsi"/>
        </w:rPr>
        <w:t>Gerichtsstand ist Ludwigshafen am Rhein.</w:t>
      </w:r>
    </w:p>
    <w:p>
      <w:pPr>
        <w:rPr>
          <w:rFonts w:cstheme="majorHAnsi"/>
          <w:lang w:eastAsia="zh-CN"/>
        </w:rPr>
      </w:pPr>
    </w:p>
    <w:p>
      <w:pPr>
        <w:pStyle w:val="berschrift1"/>
        <w:rPr>
          <w:lang w:eastAsia="zh-CN"/>
        </w:rPr>
      </w:pPr>
      <w:bookmarkStart w:id="22" w:name="_Toc222816178"/>
      <w:r>
        <w:rPr>
          <w:lang w:eastAsia="zh-CN"/>
        </w:rPr>
        <w:t>§ 21 Salvatorische Klausel</w:t>
      </w:r>
      <w:bookmarkEnd w:id="22"/>
    </w:p>
    <w:p>
      <w:pPr>
        <w:rPr>
          <w:rFonts w:eastAsia="Arial" w:cstheme="majorHAnsi"/>
        </w:rPr>
      </w:pPr>
      <w:r>
        <w:rPr>
          <w:rFonts w:eastAsia="Arial" w:cstheme="majorHAnsi"/>
        </w:rPr>
        <w:t>Sollten einzelne oder mehrere Bestimmungen dieses Vertrages ganz oder teilweise unwirksam oder undurchführbar sein oder werden, so berührt dies nicht die Wirksamkeit der übrigen Regelungen des Vertrages. In einem solchen Fall werden sich die Parteien auf eine wirksame Regelung verständigen, die ihrem rechtlichen und wirtschaftlichen Inhalt nach der unwirksamen Regelung am nächsten kommt. Entsprechendes gilt für den Fall, dass der vorliegende Vertrag eine Lücke aufweist.</w:t>
      </w:r>
    </w:p>
    <w:p>
      <w:pPr>
        <w:rPr>
          <w:rFonts w:eastAsia="Arial" w:cstheme="majorHAnsi"/>
        </w:rPr>
      </w:pPr>
    </w:p>
    <w:p>
      <w:pPr>
        <w:pStyle w:val="berschrift1"/>
        <w:rPr>
          <w:lang w:eastAsia="zh-CN"/>
        </w:rPr>
      </w:pPr>
      <w:bookmarkStart w:id="23" w:name="_Toc222816179"/>
      <w:r>
        <w:rPr>
          <w:lang w:eastAsia="zh-CN"/>
        </w:rPr>
        <w:t>§ 22 Sonstige Vereinbarung</w:t>
      </w:r>
      <w:bookmarkEnd w:id="23"/>
    </w:p>
    <w:p>
      <w:pPr>
        <w:rPr>
          <w:rFonts w:cstheme="majorHAnsi"/>
        </w:rPr>
      </w:pPr>
      <w:r>
        <w:rPr>
          <w:rFonts w:cs="Arial"/>
          <w:szCs w:val="18"/>
        </w:rPr>
        <w:t>Dieser Vertrag wird mit Abgabe des Angebotes anerkannt und hat mit Auftragserteilung Bestand. Weitere wechselseitig unterschriebene Vertragsausfertigungen sind somit nicht nötig.</w:t>
      </w:r>
    </w:p>
    <w:sectPr>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603302"/>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9</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before="0" w:after="0"/>
      </w:pPr>
      <w:r>
        <w:separator/>
      </w:r>
    </w:p>
  </w:footnote>
  <w:footnote w:type="continuationSeparator" w:id="0">
    <w:p>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20" w:hanging="360"/>
      </w:pPr>
      <w:rPr>
        <w:rFonts w:ascii="Arial" w:hAnsi="Arial" w:cs="Arial" w:hint="default"/>
        <w:sz w:val="22"/>
        <w:szCs w:val="22"/>
      </w:rPr>
    </w:lvl>
  </w:abstractNum>
  <w:abstractNum w:abstractNumId="1" w15:restartNumberingAfterBreak="0">
    <w:nsid w:val="040C60E2"/>
    <w:multiLevelType w:val="hybridMultilevel"/>
    <w:tmpl w:val="D812DD40"/>
    <w:lvl w:ilvl="0" w:tplc="FC7EF32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45466D"/>
    <w:multiLevelType w:val="hybridMultilevel"/>
    <w:tmpl w:val="FA52DA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4D6C65"/>
    <w:multiLevelType w:val="hybridMultilevel"/>
    <w:tmpl w:val="470878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A260E6"/>
    <w:multiLevelType w:val="hybridMultilevel"/>
    <w:tmpl w:val="485E8A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FB77BF"/>
    <w:multiLevelType w:val="hybridMultilevel"/>
    <w:tmpl w:val="6832BE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354F23"/>
    <w:multiLevelType w:val="hybridMultilevel"/>
    <w:tmpl w:val="6142A696"/>
    <w:lvl w:ilvl="0" w:tplc="5B842F0E">
      <w:start w:val="1"/>
      <w:numFmt w:val="decimal"/>
      <w:lvlText w:val="%1."/>
      <w:lvlJc w:val="left"/>
      <w:pPr>
        <w:ind w:left="1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C8C4AA">
      <w:start w:val="1"/>
      <w:numFmt w:val="lowerLetter"/>
      <w:lvlText w:val="%2"/>
      <w:lvlJc w:val="left"/>
      <w:pPr>
        <w:ind w:left="1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740674">
      <w:start w:val="1"/>
      <w:numFmt w:val="lowerRoman"/>
      <w:lvlText w:val="%3"/>
      <w:lvlJc w:val="left"/>
      <w:pPr>
        <w:ind w:left="24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50D6CC">
      <w:start w:val="1"/>
      <w:numFmt w:val="decimal"/>
      <w:lvlText w:val="%4"/>
      <w:lvlJc w:val="left"/>
      <w:pPr>
        <w:ind w:left="3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54D7E6">
      <w:start w:val="1"/>
      <w:numFmt w:val="lowerLetter"/>
      <w:lvlText w:val="%5"/>
      <w:lvlJc w:val="left"/>
      <w:pPr>
        <w:ind w:left="3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6A435A">
      <w:start w:val="1"/>
      <w:numFmt w:val="lowerRoman"/>
      <w:lvlText w:val="%6"/>
      <w:lvlJc w:val="left"/>
      <w:pPr>
        <w:ind w:left="46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6A6496">
      <w:start w:val="1"/>
      <w:numFmt w:val="decimal"/>
      <w:lvlText w:val="%7"/>
      <w:lvlJc w:val="left"/>
      <w:pPr>
        <w:ind w:left="5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48D640">
      <w:start w:val="1"/>
      <w:numFmt w:val="lowerLetter"/>
      <w:lvlText w:val="%8"/>
      <w:lvlJc w:val="left"/>
      <w:pPr>
        <w:ind w:left="6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1C2C7A">
      <w:start w:val="1"/>
      <w:numFmt w:val="lowerRoman"/>
      <w:lvlText w:val="%9"/>
      <w:lvlJc w:val="left"/>
      <w:pPr>
        <w:ind w:left="6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FCC1CAA"/>
    <w:multiLevelType w:val="hybridMultilevel"/>
    <w:tmpl w:val="9108789C"/>
    <w:lvl w:ilvl="0" w:tplc="6AAE37E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21CF2A99"/>
    <w:multiLevelType w:val="hybridMultilevel"/>
    <w:tmpl w:val="0F4293C0"/>
    <w:lvl w:ilvl="0" w:tplc="EFCE5F22">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0A07A8"/>
    <w:multiLevelType w:val="hybridMultilevel"/>
    <w:tmpl w:val="B96E50F4"/>
    <w:lvl w:ilvl="0" w:tplc="09EE62EE">
      <w:start w:val="1"/>
      <w:numFmt w:val="decimal"/>
      <w:lvlText w:val="%1."/>
      <w:lvlJc w:val="left"/>
      <w:pPr>
        <w:ind w:left="331" w:hanging="360"/>
      </w:pPr>
      <w:rPr>
        <w:rFonts w:hint="default"/>
      </w:rPr>
    </w:lvl>
    <w:lvl w:ilvl="1" w:tplc="04070019" w:tentative="1">
      <w:start w:val="1"/>
      <w:numFmt w:val="lowerLetter"/>
      <w:lvlText w:val="%2."/>
      <w:lvlJc w:val="left"/>
      <w:pPr>
        <w:ind w:left="1051" w:hanging="360"/>
      </w:pPr>
    </w:lvl>
    <w:lvl w:ilvl="2" w:tplc="0407001B" w:tentative="1">
      <w:start w:val="1"/>
      <w:numFmt w:val="lowerRoman"/>
      <w:lvlText w:val="%3."/>
      <w:lvlJc w:val="right"/>
      <w:pPr>
        <w:ind w:left="1771" w:hanging="180"/>
      </w:pPr>
    </w:lvl>
    <w:lvl w:ilvl="3" w:tplc="0407000F" w:tentative="1">
      <w:start w:val="1"/>
      <w:numFmt w:val="decimal"/>
      <w:lvlText w:val="%4."/>
      <w:lvlJc w:val="left"/>
      <w:pPr>
        <w:ind w:left="2491" w:hanging="360"/>
      </w:pPr>
    </w:lvl>
    <w:lvl w:ilvl="4" w:tplc="04070019" w:tentative="1">
      <w:start w:val="1"/>
      <w:numFmt w:val="lowerLetter"/>
      <w:lvlText w:val="%5."/>
      <w:lvlJc w:val="left"/>
      <w:pPr>
        <w:ind w:left="3211" w:hanging="360"/>
      </w:pPr>
    </w:lvl>
    <w:lvl w:ilvl="5" w:tplc="0407001B" w:tentative="1">
      <w:start w:val="1"/>
      <w:numFmt w:val="lowerRoman"/>
      <w:lvlText w:val="%6."/>
      <w:lvlJc w:val="right"/>
      <w:pPr>
        <w:ind w:left="3931" w:hanging="180"/>
      </w:pPr>
    </w:lvl>
    <w:lvl w:ilvl="6" w:tplc="0407000F" w:tentative="1">
      <w:start w:val="1"/>
      <w:numFmt w:val="decimal"/>
      <w:lvlText w:val="%7."/>
      <w:lvlJc w:val="left"/>
      <w:pPr>
        <w:ind w:left="4651" w:hanging="360"/>
      </w:pPr>
    </w:lvl>
    <w:lvl w:ilvl="7" w:tplc="04070019" w:tentative="1">
      <w:start w:val="1"/>
      <w:numFmt w:val="lowerLetter"/>
      <w:lvlText w:val="%8."/>
      <w:lvlJc w:val="left"/>
      <w:pPr>
        <w:ind w:left="5371" w:hanging="360"/>
      </w:pPr>
    </w:lvl>
    <w:lvl w:ilvl="8" w:tplc="0407001B" w:tentative="1">
      <w:start w:val="1"/>
      <w:numFmt w:val="lowerRoman"/>
      <w:lvlText w:val="%9."/>
      <w:lvlJc w:val="right"/>
      <w:pPr>
        <w:ind w:left="6091" w:hanging="180"/>
      </w:pPr>
    </w:lvl>
  </w:abstractNum>
  <w:abstractNum w:abstractNumId="10" w15:restartNumberingAfterBreak="0">
    <w:nsid w:val="2870024D"/>
    <w:multiLevelType w:val="hybridMultilevel"/>
    <w:tmpl w:val="FC3637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0392941"/>
    <w:multiLevelType w:val="hybridMultilevel"/>
    <w:tmpl w:val="7494ECDC"/>
    <w:lvl w:ilvl="0" w:tplc="51D6EB62">
      <w:start w:val="1"/>
      <w:numFmt w:val="decimal"/>
      <w:lvlText w:val="%1."/>
      <w:lvlJc w:val="left"/>
      <w:pPr>
        <w:ind w:left="331" w:hanging="360"/>
      </w:pPr>
      <w:rPr>
        <w:rFonts w:asciiTheme="majorHAnsi" w:eastAsia="Arial" w:hAnsiTheme="majorHAnsi" w:cstheme="majorHAnsi" w:hint="default"/>
        <w:sz w:val="22"/>
        <w:szCs w:val="22"/>
      </w:rPr>
    </w:lvl>
    <w:lvl w:ilvl="1" w:tplc="04070019" w:tentative="1">
      <w:start w:val="1"/>
      <w:numFmt w:val="lowerLetter"/>
      <w:lvlText w:val="%2."/>
      <w:lvlJc w:val="left"/>
      <w:pPr>
        <w:ind w:left="1051" w:hanging="360"/>
      </w:pPr>
    </w:lvl>
    <w:lvl w:ilvl="2" w:tplc="0407001B" w:tentative="1">
      <w:start w:val="1"/>
      <w:numFmt w:val="lowerRoman"/>
      <w:lvlText w:val="%3."/>
      <w:lvlJc w:val="right"/>
      <w:pPr>
        <w:ind w:left="1771" w:hanging="180"/>
      </w:pPr>
    </w:lvl>
    <w:lvl w:ilvl="3" w:tplc="0407000F" w:tentative="1">
      <w:start w:val="1"/>
      <w:numFmt w:val="decimal"/>
      <w:lvlText w:val="%4."/>
      <w:lvlJc w:val="left"/>
      <w:pPr>
        <w:ind w:left="2491" w:hanging="360"/>
      </w:pPr>
    </w:lvl>
    <w:lvl w:ilvl="4" w:tplc="04070019" w:tentative="1">
      <w:start w:val="1"/>
      <w:numFmt w:val="lowerLetter"/>
      <w:lvlText w:val="%5."/>
      <w:lvlJc w:val="left"/>
      <w:pPr>
        <w:ind w:left="3211" w:hanging="360"/>
      </w:pPr>
    </w:lvl>
    <w:lvl w:ilvl="5" w:tplc="0407001B" w:tentative="1">
      <w:start w:val="1"/>
      <w:numFmt w:val="lowerRoman"/>
      <w:lvlText w:val="%6."/>
      <w:lvlJc w:val="right"/>
      <w:pPr>
        <w:ind w:left="3931" w:hanging="180"/>
      </w:pPr>
    </w:lvl>
    <w:lvl w:ilvl="6" w:tplc="0407000F" w:tentative="1">
      <w:start w:val="1"/>
      <w:numFmt w:val="decimal"/>
      <w:lvlText w:val="%7."/>
      <w:lvlJc w:val="left"/>
      <w:pPr>
        <w:ind w:left="4651" w:hanging="360"/>
      </w:pPr>
    </w:lvl>
    <w:lvl w:ilvl="7" w:tplc="04070019" w:tentative="1">
      <w:start w:val="1"/>
      <w:numFmt w:val="lowerLetter"/>
      <w:lvlText w:val="%8."/>
      <w:lvlJc w:val="left"/>
      <w:pPr>
        <w:ind w:left="5371" w:hanging="360"/>
      </w:pPr>
    </w:lvl>
    <w:lvl w:ilvl="8" w:tplc="0407001B" w:tentative="1">
      <w:start w:val="1"/>
      <w:numFmt w:val="lowerRoman"/>
      <w:lvlText w:val="%9."/>
      <w:lvlJc w:val="right"/>
      <w:pPr>
        <w:ind w:left="6091" w:hanging="180"/>
      </w:pPr>
    </w:lvl>
  </w:abstractNum>
  <w:abstractNum w:abstractNumId="12" w15:restartNumberingAfterBreak="0">
    <w:nsid w:val="324E1864"/>
    <w:multiLevelType w:val="hybridMultilevel"/>
    <w:tmpl w:val="F5D21D3E"/>
    <w:lvl w:ilvl="0" w:tplc="2CD09EFA">
      <w:start w:val="1"/>
      <w:numFmt w:val="lowerLetter"/>
      <w:lvlText w:val="%1)"/>
      <w:lvlJc w:val="left"/>
      <w:pPr>
        <w:ind w:left="1080" w:hanging="360"/>
      </w:pPr>
      <w:rPr>
        <w:rFonts w:asciiTheme="majorHAnsi" w:eastAsia="Arial" w:hAnsiTheme="majorHAnsi" w:cstheme="majorHAnsi" w:hint="default"/>
        <w:sz w:val="22"/>
        <w:szCs w:val="22"/>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3408675E"/>
    <w:multiLevelType w:val="hybridMultilevel"/>
    <w:tmpl w:val="900A71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40B4DE9"/>
    <w:multiLevelType w:val="hybridMultilevel"/>
    <w:tmpl w:val="98F0CFF0"/>
    <w:lvl w:ilvl="0" w:tplc="64A8220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0A5328"/>
    <w:multiLevelType w:val="hybridMultilevel"/>
    <w:tmpl w:val="A4A61D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8C037A"/>
    <w:multiLevelType w:val="hybridMultilevel"/>
    <w:tmpl w:val="2B8E38D6"/>
    <w:lvl w:ilvl="0" w:tplc="C7D83BC6">
      <w:start w:val="4"/>
      <w:numFmt w:val="decimal"/>
      <w:lvlText w:val="%1"/>
      <w:lvlJc w:val="left"/>
      <w:pPr>
        <w:ind w:left="1285" w:hanging="1133"/>
      </w:pPr>
      <w:rPr>
        <w:rFonts w:ascii="Arial" w:eastAsia="Arial" w:hAnsi="Arial" w:cs="Arial" w:hint="default"/>
        <w:b/>
        <w:bCs/>
        <w:w w:val="99"/>
        <w:sz w:val="32"/>
        <w:szCs w:val="32"/>
      </w:rPr>
    </w:lvl>
    <w:lvl w:ilvl="1" w:tplc="6966E6BC">
      <w:start w:val="1"/>
      <w:numFmt w:val="lowerLetter"/>
      <w:lvlText w:val="%2)"/>
      <w:lvlJc w:val="left"/>
      <w:pPr>
        <w:ind w:left="1220" w:hanging="360"/>
      </w:pPr>
      <w:rPr>
        <w:rFonts w:ascii="Arial" w:eastAsia="Arial" w:hAnsi="Arial" w:cs="Arial" w:hint="default"/>
        <w:spacing w:val="-1"/>
        <w:w w:val="100"/>
        <w:sz w:val="22"/>
        <w:szCs w:val="22"/>
      </w:rPr>
    </w:lvl>
    <w:lvl w:ilvl="2" w:tplc="58C879CE">
      <w:numFmt w:val="bullet"/>
      <w:lvlText w:val="•"/>
      <w:lvlJc w:val="left"/>
      <w:pPr>
        <w:ind w:left="2256" w:hanging="360"/>
      </w:pPr>
      <w:rPr>
        <w:rFonts w:hint="default"/>
      </w:rPr>
    </w:lvl>
    <w:lvl w:ilvl="3" w:tplc="5E08D358">
      <w:numFmt w:val="bullet"/>
      <w:lvlText w:val="•"/>
      <w:lvlJc w:val="left"/>
      <w:pPr>
        <w:ind w:left="3232" w:hanging="360"/>
      </w:pPr>
      <w:rPr>
        <w:rFonts w:hint="default"/>
      </w:rPr>
    </w:lvl>
    <w:lvl w:ilvl="4" w:tplc="86D05058">
      <w:numFmt w:val="bullet"/>
      <w:lvlText w:val="•"/>
      <w:lvlJc w:val="left"/>
      <w:pPr>
        <w:ind w:left="4208" w:hanging="360"/>
      </w:pPr>
      <w:rPr>
        <w:rFonts w:hint="default"/>
      </w:rPr>
    </w:lvl>
    <w:lvl w:ilvl="5" w:tplc="B71A13F4">
      <w:numFmt w:val="bullet"/>
      <w:lvlText w:val="•"/>
      <w:lvlJc w:val="left"/>
      <w:pPr>
        <w:ind w:left="5185" w:hanging="360"/>
      </w:pPr>
      <w:rPr>
        <w:rFonts w:hint="default"/>
      </w:rPr>
    </w:lvl>
    <w:lvl w:ilvl="6" w:tplc="BF84C3B8">
      <w:numFmt w:val="bullet"/>
      <w:lvlText w:val="•"/>
      <w:lvlJc w:val="left"/>
      <w:pPr>
        <w:ind w:left="6161" w:hanging="360"/>
      </w:pPr>
      <w:rPr>
        <w:rFonts w:hint="default"/>
      </w:rPr>
    </w:lvl>
    <w:lvl w:ilvl="7" w:tplc="F68C0764">
      <w:numFmt w:val="bullet"/>
      <w:lvlText w:val="•"/>
      <w:lvlJc w:val="left"/>
      <w:pPr>
        <w:ind w:left="7137" w:hanging="360"/>
      </w:pPr>
      <w:rPr>
        <w:rFonts w:hint="default"/>
      </w:rPr>
    </w:lvl>
    <w:lvl w:ilvl="8" w:tplc="D9DC502E">
      <w:numFmt w:val="bullet"/>
      <w:lvlText w:val="•"/>
      <w:lvlJc w:val="left"/>
      <w:pPr>
        <w:ind w:left="8113" w:hanging="360"/>
      </w:pPr>
      <w:rPr>
        <w:rFonts w:hint="default"/>
      </w:rPr>
    </w:lvl>
  </w:abstractNum>
  <w:abstractNum w:abstractNumId="17" w15:restartNumberingAfterBreak="0">
    <w:nsid w:val="3ED8247C"/>
    <w:multiLevelType w:val="hybridMultilevel"/>
    <w:tmpl w:val="B8BA5B2C"/>
    <w:lvl w:ilvl="0" w:tplc="04070001">
      <w:start w:val="1"/>
      <w:numFmt w:val="bullet"/>
      <w:lvlText w:val=""/>
      <w:lvlJc w:val="left"/>
      <w:pPr>
        <w:ind w:left="1904" w:hanging="360"/>
      </w:pPr>
      <w:rPr>
        <w:rFonts w:ascii="Symbol" w:hAnsi="Symbol" w:hint="default"/>
      </w:rPr>
    </w:lvl>
    <w:lvl w:ilvl="1" w:tplc="04070003" w:tentative="1">
      <w:start w:val="1"/>
      <w:numFmt w:val="bullet"/>
      <w:lvlText w:val="o"/>
      <w:lvlJc w:val="left"/>
      <w:pPr>
        <w:ind w:left="2624" w:hanging="360"/>
      </w:pPr>
      <w:rPr>
        <w:rFonts w:ascii="Courier New" w:hAnsi="Courier New" w:cs="Courier New" w:hint="default"/>
      </w:rPr>
    </w:lvl>
    <w:lvl w:ilvl="2" w:tplc="04070005" w:tentative="1">
      <w:start w:val="1"/>
      <w:numFmt w:val="bullet"/>
      <w:lvlText w:val=""/>
      <w:lvlJc w:val="left"/>
      <w:pPr>
        <w:ind w:left="3344" w:hanging="360"/>
      </w:pPr>
      <w:rPr>
        <w:rFonts w:ascii="Wingdings" w:hAnsi="Wingdings" w:hint="default"/>
      </w:rPr>
    </w:lvl>
    <w:lvl w:ilvl="3" w:tplc="04070001" w:tentative="1">
      <w:start w:val="1"/>
      <w:numFmt w:val="bullet"/>
      <w:lvlText w:val=""/>
      <w:lvlJc w:val="left"/>
      <w:pPr>
        <w:ind w:left="4064" w:hanging="360"/>
      </w:pPr>
      <w:rPr>
        <w:rFonts w:ascii="Symbol" w:hAnsi="Symbol" w:hint="default"/>
      </w:rPr>
    </w:lvl>
    <w:lvl w:ilvl="4" w:tplc="04070003" w:tentative="1">
      <w:start w:val="1"/>
      <w:numFmt w:val="bullet"/>
      <w:lvlText w:val="o"/>
      <w:lvlJc w:val="left"/>
      <w:pPr>
        <w:ind w:left="4784" w:hanging="360"/>
      </w:pPr>
      <w:rPr>
        <w:rFonts w:ascii="Courier New" w:hAnsi="Courier New" w:cs="Courier New" w:hint="default"/>
      </w:rPr>
    </w:lvl>
    <w:lvl w:ilvl="5" w:tplc="04070005" w:tentative="1">
      <w:start w:val="1"/>
      <w:numFmt w:val="bullet"/>
      <w:lvlText w:val=""/>
      <w:lvlJc w:val="left"/>
      <w:pPr>
        <w:ind w:left="5504" w:hanging="360"/>
      </w:pPr>
      <w:rPr>
        <w:rFonts w:ascii="Wingdings" w:hAnsi="Wingdings" w:hint="default"/>
      </w:rPr>
    </w:lvl>
    <w:lvl w:ilvl="6" w:tplc="04070001" w:tentative="1">
      <w:start w:val="1"/>
      <w:numFmt w:val="bullet"/>
      <w:lvlText w:val=""/>
      <w:lvlJc w:val="left"/>
      <w:pPr>
        <w:ind w:left="6224" w:hanging="360"/>
      </w:pPr>
      <w:rPr>
        <w:rFonts w:ascii="Symbol" w:hAnsi="Symbol" w:hint="default"/>
      </w:rPr>
    </w:lvl>
    <w:lvl w:ilvl="7" w:tplc="04070003" w:tentative="1">
      <w:start w:val="1"/>
      <w:numFmt w:val="bullet"/>
      <w:lvlText w:val="o"/>
      <w:lvlJc w:val="left"/>
      <w:pPr>
        <w:ind w:left="6944" w:hanging="360"/>
      </w:pPr>
      <w:rPr>
        <w:rFonts w:ascii="Courier New" w:hAnsi="Courier New" w:cs="Courier New" w:hint="default"/>
      </w:rPr>
    </w:lvl>
    <w:lvl w:ilvl="8" w:tplc="04070005" w:tentative="1">
      <w:start w:val="1"/>
      <w:numFmt w:val="bullet"/>
      <w:lvlText w:val=""/>
      <w:lvlJc w:val="left"/>
      <w:pPr>
        <w:ind w:left="7664" w:hanging="360"/>
      </w:pPr>
      <w:rPr>
        <w:rFonts w:ascii="Wingdings" w:hAnsi="Wingdings" w:hint="default"/>
      </w:rPr>
    </w:lvl>
  </w:abstractNum>
  <w:abstractNum w:abstractNumId="18" w15:restartNumberingAfterBreak="0">
    <w:nsid w:val="401C2841"/>
    <w:multiLevelType w:val="hybridMultilevel"/>
    <w:tmpl w:val="4F9A32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0B222CA"/>
    <w:multiLevelType w:val="hybridMultilevel"/>
    <w:tmpl w:val="49606F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509319C"/>
    <w:multiLevelType w:val="hybridMultilevel"/>
    <w:tmpl w:val="D9400EB8"/>
    <w:lvl w:ilvl="0" w:tplc="63E24AA4">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DBA17A1"/>
    <w:multiLevelType w:val="hybridMultilevel"/>
    <w:tmpl w:val="470878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3C61BE0"/>
    <w:multiLevelType w:val="hybridMultilevel"/>
    <w:tmpl w:val="3ADEC5F2"/>
    <w:lvl w:ilvl="0" w:tplc="7B887BD2">
      <w:start w:val="1"/>
      <w:numFmt w:val="lowerLetter"/>
      <w:lvlText w:val="%1)"/>
      <w:lvlJc w:val="left"/>
      <w:pPr>
        <w:ind w:left="720" w:hanging="360"/>
      </w:pPr>
      <w:rPr>
        <w:rFonts w:asciiTheme="majorHAnsi" w:eastAsiaTheme="minorHAnsi" w:hAnsiTheme="majorHAnsi" w:cstheme="majorHAnsi"/>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8EB099A"/>
    <w:multiLevelType w:val="hybridMultilevel"/>
    <w:tmpl w:val="04801F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97B09F3"/>
    <w:multiLevelType w:val="hybridMultilevel"/>
    <w:tmpl w:val="8EDAD5A2"/>
    <w:lvl w:ilvl="0" w:tplc="5D7A91AA">
      <w:start w:val="1"/>
      <w:numFmt w:val="decimal"/>
      <w:lvlText w:val="%1."/>
      <w:lvlJc w:val="left"/>
      <w:pPr>
        <w:ind w:left="720" w:hanging="360"/>
      </w:pPr>
      <w:rPr>
        <w:rFonts w:ascii="Arial" w:eastAsia="Arial" w:hAnsi="Arial" w:cs="Arial"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B673A1F"/>
    <w:multiLevelType w:val="hybridMultilevel"/>
    <w:tmpl w:val="EED62D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63E1E09"/>
    <w:multiLevelType w:val="hybridMultilevel"/>
    <w:tmpl w:val="46BCE7CE"/>
    <w:lvl w:ilvl="0" w:tplc="AB5EB1A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15:restartNumberingAfterBreak="0">
    <w:nsid w:val="6B51453D"/>
    <w:multiLevelType w:val="hybridMultilevel"/>
    <w:tmpl w:val="114858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D7F6A1C"/>
    <w:multiLevelType w:val="hybridMultilevel"/>
    <w:tmpl w:val="141E0F48"/>
    <w:lvl w:ilvl="0" w:tplc="804ED244">
      <w:start w:val="1"/>
      <w:numFmt w:val="lowerLetter"/>
      <w:lvlText w:val="(%1)"/>
      <w:lvlJc w:val="left"/>
      <w:pPr>
        <w:ind w:left="1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CC4626">
      <w:start w:val="1"/>
      <w:numFmt w:val="lowerLetter"/>
      <w:lvlText w:val="%2"/>
      <w:lvlJc w:val="left"/>
      <w:pPr>
        <w:ind w:left="1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5D66DE4">
      <w:start w:val="1"/>
      <w:numFmt w:val="lowerRoman"/>
      <w:lvlText w:val="%3"/>
      <w:lvlJc w:val="left"/>
      <w:pPr>
        <w:ind w:left="24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78427BE">
      <w:start w:val="1"/>
      <w:numFmt w:val="decimal"/>
      <w:lvlText w:val="%4"/>
      <w:lvlJc w:val="left"/>
      <w:pPr>
        <w:ind w:left="3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F2C698">
      <w:start w:val="1"/>
      <w:numFmt w:val="lowerLetter"/>
      <w:lvlText w:val="%5"/>
      <w:lvlJc w:val="left"/>
      <w:pPr>
        <w:ind w:left="3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4CEB794">
      <w:start w:val="1"/>
      <w:numFmt w:val="lowerRoman"/>
      <w:lvlText w:val="%6"/>
      <w:lvlJc w:val="left"/>
      <w:pPr>
        <w:ind w:left="46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40B142">
      <w:start w:val="1"/>
      <w:numFmt w:val="decimal"/>
      <w:lvlText w:val="%7"/>
      <w:lvlJc w:val="left"/>
      <w:pPr>
        <w:ind w:left="5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287B24">
      <w:start w:val="1"/>
      <w:numFmt w:val="lowerLetter"/>
      <w:lvlText w:val="%8"/>
      <w:lvlJc w:val="left"/>
      <w:pPr>
        <w:ind w:left="6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C85DBE">
      <w:start w:val="1"/>
      <w:numFmt w:val="lowerRoman"/>
      <w:lvlText w:val="%9"/>
      <w:lvlJc w:val="left"/>
      <w:pPr>
        <w:ind w:left="6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1882E41"/>
    <w:multiLevelType w:val="hybridMultilevel"/>
    <w:tmpl w:val="86C6E6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2DC3EA2"/>
    <w:multiLevelType w:val="hybridMultilevel"/>
    <w:tmpl w:val="7494ECDC"/>
    <w:lvl w:ilvl="0" w:tplc="51D6EB62">
      <w:start w:val="1"/>
      <w:numFmt w:val="decimal"/>
      <w:lvlText w:val="%1."/>
      <w:lvlJc w:val="left"/>
      <w:pPr>
        <w:ind w:left="331" w:hanging="360"/>
      </w:pPr>
      <w:rPr>
        <w:rFonts w:asciiTheme="majorHAnsi" w:eastAsia="Arial" w:hAnsiTheme="majorHAnsi" w:cstheme="majorHAnsi" w:hint="default"/>
        <w:sz w:val="22"/>
        <w:szCs w:val="22"/>
      </w:rPr>
    </w:lvl>
    <w:lvl w:ilvl="1" w:tplc="04070019" w:tentative="1">
      <w:start w:val="1"/>
      <w:numFmt w:val="lowerLetter"/>
      <w:lvlText w:val="%2."/>
      <w:lvlJc w:val="left"/>
      <w:pPr>
        <w:ind w:left="1051" w:hanging="360"/>
      </w:pPr>
    </w:lvl>
    <w:lvl w:ilvl="2" w:tplc="0407001B" w:tentative="1">
      <w:start w:val="1"/>
      <w:numFmt w:val="lowerRoman"/>
      <w:lvlText w:val="%3."/>
      <w:lvlJc w:val="right"/>
      <w:pPr>
        <w:ind w:left="1771" w:hanging="180"/>
      </w:pPr>
    </w:lvl>
    <w:lvl w:ilvl="3" w:tplc="0407000F" w:tentative="1">
      <w:start w:val="1"/>
      <w:numFmt w:val="decimal"/>
      <w:lvlText w:val="%4."/>
      <w:lvlJc w:val="left"/>
      <w:pPr>
        <w:ind w:left="2491" w:hanging="360"/>
      </w:pPr>
    </w:lvl>
    <w:lvl w:ilvl="4" w:tplc="04070019" w:tentative="1">
      <w:start w:val="1"/>
      <w:numFmt w:val="lowerLetter"/>
      <w:lvlText w:val="%5."/>
      <w:lvlJc w:val="left"/>
      <w:pPr>
        <w:ind w:left="3211" w:hanging="360"/>
      </w:pPr>
    </w:lvl>
    <w:lvl w:ilvl="5" w:tplc="0407001B" w:tentative="1">
      <w:start w:val="1"/>
      <w:numFmt w:val="lowerRoman"/>
      <w:lvlText w:val="%6."/>
      <w:lvlJc w:val="right"/>
      <w:pPr>
        <w:ind w:left="3931" w:hanging="180"/>
      </w:pPr>
    </w:lvl>
    <w:lvl w:ilvl="6" w:tplc="0407000F" w:tentative="1">
      <w:start w:val="1"/>
      <w:numFmt w:val="decimal"/>
      <w:lvlText w:val="%7."/>
      <w:lvlJc w:val="left"/>
      <w:pPr>
        <w:ind w:left="4651" w:hanging="360"/>
      </w:pPr>
    </w:lvl>
    <w:lvl w:ilvl="7" w:tplc="04070019" w:tentative="1">
      <w:start w:val="1"/>
      <w:numFmt w:val="lowerLetter"/>
      <w:lvlText w:val="%8."/>
      <w:lvlJc w:val="left"/>
      <w:pPr>
        <w:ind w:left="5371" w:hanging="360"/>
      </w:pPr>
    </w:lvl>
    <w:lvl w:ilvl="8" w:tplc="0407001B" w:tentative="1">
      <w:start w:val="1"/>
      <w:numFmt w:val="lowerRoman"/>
      <w:lvlText w:val="%9."/>
      <w:lvlJc w:val="right"/>
      <w:pPr>
        <w:ind w:left="6091" w:hanging="180"/>
      </w:pPr>
    </w:lvl>
  </w:abstractNum>
  <w:abstractNum w:abstractNumId="31" w15:restartNumberingAfterBreak="0">
    <w:nsid w:val="74C73AFD"/>
    <w:multiLevelType w:val="hybridMultilevel"/>
    <w:tmpl w:val="FD567204"/>
    <w:lvl w:ilvl="0" w:tplc="00000001">
      <w:start w:val="1"/>
      <w:numFmt w:val="lowerLetter"/>
      <w:lvlText w:val="%1)"/>
      <w:lvlJc w:val="left"/>
      <w:pPr>
        <w:ind w:left="720" w:hanging="360"/>
      </w:pPr>
      <w:rPr>
        <w:rFonts w:ascii="Arial" w:hAnsi="Arial" w:cs="Arial"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9684B3D"/>
    <w:multiLevelType w:val="hybridMultilevel"/>
    <w:tmpl w:val="6414B8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A98681C"/>
    <w:multiLevelType w:val="hybridMultilevel"/>
    <w:tmpl w:val="461050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D9E7CEA"/>
    <w:multiLevelType w:val="hybridMultilevel"/>
    <w:tmpl w:val="390E356A"/>
    <w:lvl w:ilvl="0" w:tplc="734A63AA">
      <w:start w:val="1"/>
      <w:numFmt w:val="lowerLetter"/>
      <w:lvlText w:val="%1)"/>
      <w:lvlJc w:val="left"/>
      <w:pPr>
        <w:ind w:left="1080" w:hanging="360"/>
      </w:pPr>
      <w:rPr>
        <w:rFonts w:asciiTheme="majorHAnsi" w:eastAsia="Arial" w:hAnsiTheme="majorHAnsi" w:cstheme="majorHAnsi" w:hint="default"/>
        <w:b w:val="0"/>
        <w:sz w:val="22"/>
        <w:szCs w:val="22"/>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5" w15:restartNumberingAfterBreak="0">
    <w:nsid w:val="7F7E6A1A"/>
    <w:multiLevelType w:val="hybridMultilevel"/>
    <w:tmpl w:val="7856F316"/>
    <w:lvl w:ilvl="0" w:tplc="67A81BA8">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4"/>
  </w:num>
  <w:num w:numId="4">
    <w:abstractNumId w:val="2"/>
  </w:num>
  <w:num w:numId="5">
    <w:abstractNumId w:val="7"/>
  </w:num>
  <w:num w:numId="6">
    <w:abstractNumId w:val="23"/>
  </w:num>
  <w:num w:numId="7">
    <w:abstractNumId w:val="6"/>
  </w:num>
  <w:num w:numId="8">
    <w:abstractNumId w:val="12"/>
  </w:num>
  <w:num w:numId="9">
    <w:abstractNumId w:val="16"/>
  </w:num>
  <w:num w:numId="10">
    <w:abstractNumId w:val="22"/>
  </w:num>
  <w:num w:numId="11">
    <w:abstractNumId w:val="31"/>
  </w:num>
  <w:num w:numId="12">
    <w:abstractNumId w:val="32"/>
  </w:num>
  <w:num w:numId="13">
    <w:abstractNumId w:val="30"/>
  </w:num>
  <w:num w:numId="14">
    <w:abstractNumId w:val="20"/>
  </w:num>
  <w:num w:numId="15">
    <w:abstractNumId w:val="3"/>
  </w:num>
  <w:num w:numId="16">
    <w:abstractNumId w:val="19"/>
  </w:num>
  <w:num w:numId="17">
    <w:abstractNumId w:val="0"/>
  </w:num>
  <w:num w:numId="18">
    <w:abstractNumId w:val="24"/>
  </w:num>
  <w:num w:numId="19">
    <w:abstractNumId w:val="10"/>
  </w:num>
  <w:num w:numId="20">
    <w:abstractNumId w:val="28"/>
  </w:num>
  <w:num w:numId="21">
    <w:abstractNumId w:val="34"/>
  </w:num>
  <w:num w:numId="22">
    <w:abstractNumId w:val="29"/>
  </w:num>
  <w:num w:numId="23">
    <w:abstractNumId w:val="27"/>
  </w:num>
  <w:num w:numId="24">
    <w:abstractNumId w:val="13"/>
  </w:num>
  <w:num w:numId="25">
    <w:abstractNumId w:val="21"/>
  </w:num>
  <w:num w:numId="26">
    <w:abstractNumId w:val="15"/>
  </w:num>
  <w:num w:numId="27">
    <w:abstractNumId w:val="25"/>
  </w:num>
  <w:num w:numId="28">
    <w:abstractNumId w:val="9"/>
  </w:num>
  <w:num w:numId="29">
    <w:abstractNumId w:val="33"/>
  </w:num>
  <w:num w:numId="30">
    <w:abstractNumId w:val="26"/>
  </w:num>
  <w:num w:numId="31">
    <w:abstractNumId w:val="5"/>
  </w:num>
  <w:num w:numId="32">
    <w:abstractNumId w:val="8"/>
  </w:num>
  <w:num w:numId="33">
    <w:abstractNumId w:val="35"/>
  </w:num>
  <w:num w:numId="34">
    <w:abstractNumId w:val="17"/>
  </w:num>
  <w:num w:numId="35">
    <w:abstractNumId w:val="18"/>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proofState w:spelling="clean" w:grammar="clean"/>
  <w:documentProtection w:edit="forms" w:enforcement="1" w:cryptProviderType="rsaAES" w:cryptAlgorithmClass="hash" w:cryptAlgorithmType="typeAny" w:cryptAlgorithmSid="14" w:cryptSpinCount="100000" w:hash="LxE7yp8vDj/FYwHdwJI5HgYWdiLwwq/xtQasyjXhwHe7WbmcTby+1rsDGVFVzIGyGoJD092X+5id26/m9sN72A==" w:salt="xb/8Hs2IQ8rhZsOx54RVg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3FA685-1F06-4B10-A1E4-0AEF0563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40" w:lineRule="auto"/>
      <w:jc w:val="both"/>
    </w:pPr>
    <w:rPr>
      <w:rFonts w:asciiTheme="majorHAnsi" w:hAnsiTheme="majorHAnsi"/>
    </w:rPr>
  </w:style>
  <w:style w:type="paragraph" w:styleId="berschrift1">
    <w:name w:val="heading 1"/>
    <w:basedOn w:val="Standard"/>
    <w:next w:val="Standard"/>
    <w:link w:val="berschrift1Zchn"/>
    <w:uiPriority w:val="9"/>
    <w:qFormat/>
    <w:pPr>
      <w:keepNext/>
      <w:keepLines/>
      <w:spacing w:before="240" w:after="240"/>
      <w:jc w:val="center"/>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
    <w:qFormat/>
    <w:pPr>
      <w:ind w:left="720"/>
      <w:contextualSpacing/>
    </w:pPr>
  </w:style>
  <w:style w:type="paragraph" w:styleId="Kommentartext">
    <w:name w:val="annotation text"/>
    <w:basedOn w:val="Standard"/>
    <w:link w:val="KommentartextZchn1"/>
    <w:uiPriority w:val="99"/>
    <w:unhideWhenUsed/>
    <w:pPr>
      <w:suppressAutoHyphens/>
      <w:spacing w:after="0"/>
    </w:pPr>
    <w:rPr>
      <w:rFonts w:ascii="Times New Roman" w:eastAsia="Times New Roman" w:hAnsi="Times New Roman" w:cs="Times New Roman"/>
      <w:sz w:val="20"/>
      <w:szCs w:val="20"/>
      <w:lang w:eastAsia="zh-CN"/>
    </w:rPr>
  </w:style>
  <w:style w:type="character" w:customStyle="1" w:styleId="KommentartextZchn">
    <w:name w:val="Kommentartext Zchn"/>
    <w:basedOn w:val="Absatz-Standardschriftart"/>
    <w:uiPriority w:val="99"/>
    <w:semiHidden/>
    <w:rPr>
      <w:sz w:val="20"/>
      <w:szCs w:val="20"/>
    </w:rPr>
  </w:style>
  <w:style w:type="character" w:customStyle="1" w:styleId="KommentartextZchn1">
    <w:name w:val="Kommentartext Zchn1"/>
    <w:link w:val="Kommentartext"/>
    <w:uiPriority w:val="99"/>
    <w:rPr>
      <w:rFonts w:ascii="Times New Roman" w:eastAsia="Times New Roman" w:hAnsi="Times New Roman" w:cs="Times New Roman"/>
      <w:sz w:val="20"/>
      <w:szCs w:val="20"/>
      <w:lang w:eastAsia="zh-CN"/>
    </w:rPr>
  </w:style>
  <w:style w:type="table" w:customStyle="1" w:styleId="TableGrid">
    <w:name w:val="TableGrid"/>
    <w:pPr>
      <w:spacing w:after="0" w:line="240" w:lineRule="auto"/>
    </w:pPr>
    <w:rPr>
      <w:rFonts w:eastAsiaTheme="minorEastAsia"/>
      <w:lang w:eastAsia="de-DE"/>
    </w:rPr>
    <w:tblPr>
      <w:tblCellMar>
        <w:top w:w="0" w:type="dxa"/>
        <w:left w:w="0" w:type="dxa"/>
        <w:bottom w:w="0" w:type="dxa"/>
        <w:right w:w="0" w:type="dxa"/>
      </w:tblCellMar>
    </w:tblPr>
  </w:style>
  <w:style w:type="paragraph" w:styleId="Textkrper">
    <w:name w:val="Body Text"/>
    <w:basedOn w:val="Standard"/>
    <w:link w:val="TextkrperZchn"/>
    <w:uiPriority w:val="1"/>
    <w:qFormat/>
    <w:pPr>
      <w:widowControl w:val="0"/>
      <w:autoSpaceDE w:val="0"/>
      <w:autoSpaceDN w:val="0"/>
      <w:spacing w:after="0"/>
    </w:pPr>
    <w:rPr>
      <w:rFonts w:ascii="Arial" w:eastAsia="Arial" w:hAnsi="Arial" w:cs="Arial"/>
      <w:lang w:val="en-US"/>
    </w:rPr>
  </w:style>
  <w:style w:type="character" w:customStyle="1" w:styleId="TextkrperZchn">
    <w:name w:val="Textkörper Zchn"/>
    <w:basedOn w:val="Absatz-Standardschriftart"/>
    <w:link w:val="Textkrper"/>
    <w:uiPriority w:val="1"/>
    <w:rPr>
      <w:rFonts w:ascii="Arial" w:eastAsia="Arial" w:hAnsi="Arial" w:cs="Arial"/>
      <w:lang w:val="en-US"/>
    </w:rPr>
  </w:style>
  <w:style w:type="character" w:styleId="Kommentarzeichen">
    <w:name w:val="annotation reference"/>
    <w:uiPriority w:val="99"/>
    <w:semiHidden/>
    <w:unhideWhenUsed/>
    <w:rPr>
      <w:sz w:val="16"/>
      <w:szCs w:val="16"/>
    </w:rPr>
  </w:style>
  <w:style w:type="paragraph" w:styleId="Sprechblasentext">
    <w:name w:val="Balloon Text"/>
    <w:basedOn w:val="Standard"/>
    <w:link w:val="SprechblasentextZchn"/>
    <w:uiPriority w:val="99"/>
    <w:semiHidden/>
    <w:unhideWhenUsed/>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pPr>
      <w:suppressAutoHyphens w:val="0"/>
      <w:spacing w:after="160"/>
    </w:pPr>
    <w:rPr>
      <w:rFonts w:asciiTheme="minorHAnsi" w:eastAsiaTheme="minorHAnsi" w:hAnsiTheme="minorHAnsi" w:cstheme="minorBidi"/>
      <w:b/>
      <w:bCs/>
      <w:lang w:eastAsia="en-US"/>
    </w:rPr>
  </w:style>
  <w:style w:type="character" w:customStyle="1" w:styleId="KommentarthemaZchn">
    <w:name w:val="Kommentarthema Zchn"/>
    <w:basedOn w:val="KommentartextZchn1"/>
    <w:link w:val="Kommentarthema"/>
    <w:uiPriority w:val="99"/>
    <w:semiHidden/>
    <w:rPr>
      <w:rFonts w:ascii="Times New Roman" w:eastAsia="Times New Roman" w:hAnsi="Times New Roman" w:cs="Times New Roman"/>
      <w:b/>
      <w:bCs/>
      <w:sz w:val="20"/>
      <w:szCs w:val="20"/>
      <w:lang w:eastAsia="zh-CN"/>
    </w:rPr>
  </w:style>
  <w:style w:type="character" w:customStyle="1" w:styleId="WW8Num1z0">
    <w:name w:val="WW8Num1z0"/>
    <w:rPr>
      <w:rFonts w:ascii="Arial" w:hAnsi="Arial" w:cs="Arial" w:hint="default"/>
      <w:sz w:val="22"/>
      <w:szCs w:val="22"/>
    </w:rPr>
  </w:style>
  <w:style w:type="character" w:customStyle="1" w:styleId="Kommentarzeichen1">
    <w:name w:val="Kommentarzeichen1"/>
    <w:rPr>
      <w:sz w:val="16"/>
      <w:szCs w:val="16"/>
    </w:rPr>
  </w:style>
  <w:style w:type="paragraph" w:styleId="Kopfzeile">
    <w:name w:val="header"/>
    <w:basedOn w:val="Standard"/>
    <w:link w:val="KopfzeileZchn"/>
    <w:uiPriority w:val="99"/>
    <w:unhideWhenUsed/>
    <w:pPr>
      <w:tabs>
        <w:tab w:val="center" w:pos="4536"/>
        <w:tab w:val="right" w:pos="9072"/>
      </w:tabs>
      <w:spacing w:after="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paragraph" w:styleId="Inhaltsverzeichnisberschrift">
    <w:name w:val="TOC Heading"/>
    <w:basedOn w:val="berschrift1"/>
    <w:next w:val="Standard"/>
    <w:uiPriority w:val="39"/>
    <w:unhideWhenUsed/>
    <w:qFormat/>
    <w:pPr>
      <w:spacing w:after="0" w:line="259" w:lineRule="auto"/>
      <w:jc w:val="left"/>
      <w:outlineLvl w:val="9"/>
    </w:pPr>
    <w:rPr>
      <w:b w:val="0"/>
      <w:color w:val="2E74B5" w:themeColor="accent1" w:themeShade="BF"/>
      <w:sz w:val="32"/>
      <w:lang w:eastAsia="de-DE"/>
    </w:rPr>
  </w:style>
  <w:style w:type="paragraph" w:styleId="Verzeichnis1">
    <w:name w:val="toc 1"/>
    <w:basedOn w:val="Standard"/>
    <w:next w:val="Standard"/>
    <w:autoRedefine/>
    <w:uiPriority w:val="39"/>
    <w:unhideWhenUsed/>
    <w:pPr>
      <w:spacing w:after="100"/>
    </w:pPr>
  </w:style>
  <w:style w:type="character" w:styleId="Hyperlink">
    <w:name w:val="Hyperlink"/>
    <w:basedOn w:val="Absatz-Standardschriftart"/>
    <w:uiPriority w:val="99"/>
    <w:unhideWhenUsed/>
    <w:rPr>
      <w:color w:val="0563C1" w:themeColor="hyperlink"/>
      <w:u w:val="single"/>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63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34E3438A-E68E-49C7-BBF6-01E132DAE514}"/>
      </w:docPartPr>
      <w:docPartBody>
        <w:p>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91169-6A1F-4534-A856-954DF737A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2866</Words>
  <Characters>18063</Characters>
  <Application>Microsoft Office Word</Application>
  <DocSecurity>2</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Stadt Ludwigshafen</Company>
  <LinksUpToDate>false</LinksUpToDate>
  <CharactersWithSpaces>20888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 Schneider</dc:creator>
  <cp:lastModifiedBy>Hahn Ulrich</cp:lastModifiedBy>
  <cp:revision>5</cp:revision>
  <cp:lastPrinted>2019-01-04T08:20:00Z</cp:lastPrinted>
  <dcterms:created xsi:type="dcterms:W3CDTF">2026-05-15T12:25:00Z</dcterms:created>
  <dcterms:modified xsi:type="dcterms:W3CDTF">2026-05-18T12:20:00Z</dcterms:modified>
</cp:coreProperties>
</file>